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5E2" w:rsidRPr="00931DA4" w:rsidRDefault="00B5330B" w:rsidP="00931DA4">
      <w:pPr>
        <w:pStyle w:val="a7"/>
        <w:spacing w:before="0" w:beforeAutospacing="0" w:after="0" w:afterAutospacing="0"/>
        <w:jc w:val="both"/>
        <w:textAlignment w:val="baseline"/>
        <w:rPr>
          <w:rFonts w:asciiTheme="minorEastAsia" w:eastAsiaTheme="minorEastAsia" w:hAnsiTheme="minorEastAsia"/>
          <w:color w:val="333333"/>
          <w:sz w:val="21"/>
          <w:szCs w:val="21"/>
        </w:rPr>
      </w:pPr>
      <w:r w:rsidRPr="00931DA4">
        <w:rPr>
          <w:rFonts w:asciiTheme="minorEastAsia" w:eastAsiaTheme="minorEastAsia" w:hAnsiTheme="minorEastAsia" w:hint="eastAsia"/>
          <w:color w:val="333333"/>
          <w:sz w:val="21"/>
          <w:szCs w:val="21"/>
        </w:rPr>
        <w:t>附件：</w:t>
      </w:r>
    </w:p>
    <w:p w:rsidR="00B5330B" w:rsidRPr="003C1F3D" w:rsidRDefault="00B5330B" w:rsidP="003C1F3D">
      <w:pPr>
        <w:pStyle w:val="a7"/>
        <w:spacing w:before="0" w:beforeAutospacing="0" w:after="0" w:afterAutospacing="0" w:line="360" w:lineRule="auto"/>
        <w:jc w:val="center"/>
        <w:textAlignment w:val="baseline"/>
        <w:rPr>
          <w:rFonts w:asciiTheme="minorEastAsia" w:eastAsiaTheme="minorEastAsia" w:hAnsiTheme="minorEastAsia"/>
          <w:b/>
          <w:bCs/>
          <w:color w:val="333333"/>
          <w:sz w:val="30"/>
          <w:szCs w:val="30"/>
          <w:bdr w:val="none" w:sz="0" w:space="0" w:color="auto" w:frame="1"/>
        </w:rPr>
      </w:pPr>
      <w:r w:rsidRPr="003C1F3D">
        <w:rPr>
          <w:rFonts w:asciiTheme="minorEastAsia" w:eastAsiaTheme="minorEastAsia" w:hAnsiTheme="minorEastAsia" w:hint="eastAsia"/>
          <w:b/>
          <w:bCs/>
          <w:color w:val="333333"/>
          <w:sz w:val="30"/>
          <w:szCs w:val="30"/>
          <w:bdr w:val="none" w:sz="0" w:space="0" w:color="auto" w:frame="1"/>
        </w:rPr>
        <w:t>泰兴市中医院集采药品信息管理系统项目</w:t>
      </w:r>
    </w:p>
    <w:p w:rsidR="00B5330B" w:rsidRPr="003C1F3D" w:rsidRDefault="00B5330B" w:rsidP="003C1F3D">
      <w:pPr>
        <w:pStyle w:val="a7"/>
        <w:spacing w:before="0" w:beforeAutospacing="0" w:after="0" w:afterAutospacing="0" w:line="360" w:lineRule="auto"/>
        <w:jc w:val="both"/>
        <w:textAlignment w:val="baseline"/>
        <w:rPr>
          <w:rFonts w:asciiTheme="minorEastAsia" w:eastAsiaTheme="minorEastAsia" w:hAnsiTheme="minorEastAsia"/>
          <w:b/>
          <w:bCs/>
          <w:color w:val="333333"/>
          <w:sz w:val="21"/>
          <w:szCs w:val="21"/>
        </w:rPr>
      </w:pPr>
      <w:r w:rsidRPr="003C1F3D">
        <w:rPr>
          <w:rFonts w:asciiTheme="minorEastAsia" w:eastAsiaTheme="minorEastAsia" w:hAnsiTheme="minorEastAsia" w:hint="eastAsia"/>
          <w:b/>
          <w:bCs/>
          <w:color w:val="333333"/>
          <w:sz w:val="21"/>
          <w:szCs w:val="21"/>
        </w:rPr>
        <w:t>一、项目概况</w:t>
      </w:r>
    </w:p>
    <w:p w:rsidR="00B5330B" w:rsidRPr="00931DA4" w:rsidRDefault="00B5330B" w:rsidP="003C1F3D">
      <w:pPr>
        <w:pStyle w:val="a7"/>
        <w:spacing w:before="0" w:beforeAutospacing="0" w:after="0" w:afterAutospacing="0" w:line="360" w:lineRule="auto"/>
        <w:ind w:firstLineChars="200" w:firstLine="420"/>
        <w:jc w:val="both"/>
        <w:textAlignment w:val="baseline"/>
        <w:rPr>
          <w:rFonts w:asciiTheme="minorEastAsia" w:eastAsiaTheme="minorEastAsia" w:hAnsiTheme="minorEastAsia"/>
          <w:color w:val="333333"/>
          <w:sz w:val="21"/>
          <w:szCs w:val="21"/>
        </w:rPr>
      </w:pPr>
      <w:r w:rsidRPr="00931DA4">
        <w:rPr>
          <w:rFonts w:asciiTheme="minorEastAsia" w:eastAsiaTheme="minorEastAsia" w:hAnsiTheme="minorEastAsia" w:hint="eastAsia"/>
          <w:color w:val="333333"/>
          <w:sz w:val="21"/>
          <w:szCs w:val="21"/>
        </w:rPr>
        <w:t>为规范我院临床科室合理使用集中带量采购药品，确保集采任务顺利完成，我院拟开发建设集采药品信息管理系统，对集采药品进行信息化管理，项目总预算2</w:t>
      </w:r>
      <w:r w:rsidRPr="00931DA4">
        <w:rPr>
          <w:rFonts w:asciiTheme="minorEastAsia" w:eastAsiaTheme="minorEastAsia" w:hAnsiTheme="minorEastAsia"/>
          <w:color w:val="333333"/>
          <w:sz w:val="21"/>
          <w:szCs w:val="21"/>
        </w:rPr>
        <w:t>9.8</w:t>
      </w:r>
      <w:r w:rsidRPr="00931DA4">
        <w:rPr>
          <w:rFonts w:asciiTheme="minorEastAsia" w:eastAsiaTheme="minorEastAsia" w:hAnsiTheme="minorEastAsia" w:hint="eastAsia"/>
          <w:color w:val="333333"/>
          <w:sz w:val="21"/>
          <w:szCs w:val="21"/>
        </w:rPr>
        <w:t>万元，本</w:t>
      </w:r>
      <w:r w:rsidR="00D81A4C">
        <w:rPr>
          <w:rFonts w:asciiTheme="minorEastAsia" w:eastAsiaTheme="minorEastAsia" w:hAnsiTheme="minorEastAsia" w:hint="eastAsia"/>
          <w:color w:val="333333"/>
          <w:sz w:val="21"/>
          <w:szCs w:val="21"/>
        </w:rPr>
        <w:t>项目所</w:t>
      </w:r>
      <w:r w:rsidR="00E81152">
        <w:rPr>
          <w:rFonts w:asciiTheme="minorEastAsia" w:eastAsiaTheme="minorEastAsia" w:hAnsiTheme="minorEastAsia" w:hint="eastAsia"/>
          <w:color w:val="333333"/>
          <w:sz w:val="21"/>
          <w:szCs w:val="21"/>
        </w:rPr>
        <w:t>涉及接口</w:t>
      </w:r>
      <w:r w:rsidRPr="00931DA4">
        <w:rPr>
          <w:rFonts w:asciiTheme="minorEastAsia" w:eastAsiaTheme="minorEastAsia" w:hAnsiTheme="minorEastAsia" w:hint="eastAsia"/>
          <w:color w:val="333333"/>
          <w:sz w:val="21"/>
          <w:szCs w:val="21"/>
        </w:rPr>
        <w:t>等费用由供方承担。</w:t>
      </w:r>
    </w:p>
    <w:p w:rsidR="00B5330B" w:rsidRPr="003C1F3D" w:rsidRDefault="00B5330B" w:rsidP="003C1F3D">
      <w:pPr>
        <w:pStyle w:val="a7"/>
        <w:spacing w:before="0" w:beforeAutospacing="0" w:after="0" w:afterAutospacing="0" w:line="360" w:lineRule="auto"/>
        <w:jc w:val="both"/>
        <w:textAlignment w:val="baseline"/>
        <w:rPr>
          <w:rFonts w:asciiTheme="minorEastAsia" w:eastAsiaTheme="minorEastAsia" w:hAnsiTheme="minorEastAsia"/>
          <w:b/>
          <w:bCs/>
          <w:color w:val="333333"/>
          <w:sz w:val="21"/>
          <w:szCs w:val="21"/>
        </w:rPr>
      </w:pPr>
      <w:r w:rsidRPr="003C1F3D">
        <w:rPr>
          <w:rFonts w:asciiTheme="minorEastAsia" w:eastAsiaTheme="minorEastAsia" w:hAnsiTheme="minorEastAsia" w:hint="eastAsia"/>
          <w:b/>
          <w:bCs/>
          <w:color w:val="333333"/>
          <w:sz w:val="21"/>
          <w:szCs w:val="21"/>
        </w:rPr>
        <w:t>二、项目技术要求</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5"/>
        <w:gridCol w:w="1701"/>
        <w:gridCol w:w="4479"/>
      </w:tblGrid>
      <w:tr w:rsidR="00B5330B" w:rsidRPr="00931DA4" w:rsidTr="003C1F3D">
        <w:trPr>
          <w:trHeight w:val="20"/>
          <w:jc w:val="center"/>
        </w:trPr>
        <w:tc>
          <w:tcPr>
            <w:tcW w:w="1135" w:type="dxa"/>
            <w:vMerge w:val="restart"/>
            <w:tcBorders>
              <w:top w:val="single" w:sz="8" w:space="0" w:color="5B5B5B"/>
              <w:left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数据查阅</w:t>
            </w:r>
          </w:p>
        </w:tc>
        <w:tc>
          <w:tcPr>
            <w:tcW w:w="1275"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管理层查阅</w:t>
            </w:r>
          </w:p>
        </w:tc>
        <w:tc>
          <w:tcPr>
            <w:tcW w:w="6180" w:type="dxa"/>
            <w:gridSpan w:val="2"/>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显示全院集采药品完成情况、全院可替代药品使用情况、库存量情况图形展示</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left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医生自查</w:t>
            </w:r>
          </w:p>
        </w:tc>
        <w:tc>
          <w:tcPr>
            <w:tcW w:w="6180" w:type="dxa"/>
            <w:gridSpan w:val="2"/>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针对当前账号为医生的权限显示当前医生集采药品完成TOP前十、集采药品完成TOP后十、集采药品使用情况统计的柱形图或者表格展示。</w:t>
            </w:r>
            <w:r w:rsidR="004871B3">
              <w:rPr>
                <w:rFonts w:asciiTheme="minorEastAsia" w:hAnsiTheme="minorEastAsia" w:hint="eastAsia"/>
                <w:szCs w:val="21"/>
              </w:rPr>
              <w:t>（提供功能截图，并加盖投标人公章）</w:t>
            </w:r>
          </w:p>
        </w:tc>
      </w:tr>
      <w:tr w:rsidR="006D1D36" w:rsidRPr="00931DA4" w:rsidTr="002F7659">
        <w:trPr>
          <w:trHeight w:val="20"/>
          <w:jc w:val="center"/>
        </w:trPr>
        <w:tc>
          <w:tcPr>
            <w:tcW w:w="1135" w:type="dxa"/>
            <w:vMerge/>
            <w:tcBorders>
              <w:left w:val="single" w:sz="8" w:space="0" w:color="5B5B5B"/>
              <w:bottom w:val="single" w:sz="8" w:space="0" w:color="5B5B5B"/>
              <w:right w:val="single" w:sz="8" w:space="0" w:color="5B5B5B"/>
            </w:tcBorders>
            <w:shd w:val="clear" w:color="auto" w:fill="FEFEFE"/>
            <w:vAlign w:val="center"/>
          </w:tcPr>
          <w:p w:rsidR="006D1D36" w:rsidRPr="00931DA4" w:rsidRDefault="006D1D36" w:rsidP="00931DA4">
            <w:pPr>
              <w:rPr>
                <w:rFonts w:asciiTheme="minorEastAsia" w:hAnsiTheme="minorEastAsia"/>
                <w:szCs w:val="21"/>
              </w:rPr>
            </w:pPr>
          </w:p>
        </w:tc>
        <w:tc>
          <w:tcPr>
            <w:tcW w:w="1275"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6D1D36" w:rsidRPr="00931DA4" w:rsidRDefault="00502197" w:rsidP="00931DA4">
            <w:pPr>
              <w:rPr>
                <w:rFonts w:asciiTheme="minorEastAsia" w:hAnsiTheme="minorEastAsia"/>
                <w:szCs w:val="21"/>
              </w:rPr>
            </w:pPr>
            <w:r>
              <w:rPr>
                <w:rFonts w:asciiTheme="minorEastAsia" w:hAnsiTheme="minorEastAsia" w:hint="eastAsia"/>
                <w:szCs w:val="21"/>
              </w:rPr>
              <w:t>▲</w:t>
            </w:r>
            <w:r w:rsidR="006D1D36" w:rsidRPr="00931DA4">
              <w:rPr>
                <w:rFonts w:asciiTheme="minorEastAsia" w:hAnsiTheme="minorEastAsia" w:hint="eastAsia"/>
                <w:szCs w:val="21"/>
              </w:rPr>
              <w:t>集采药品监控平台</w:t>
            </w:r>
          </w:p>
        </w:tc>
        <w:tc>
          <w:tcPr>
            <w:tcW w:w="6180" w:type="dxa"/>
            <w:gridSpan w:val="2"/>
            <w:tcBorders>
              <w:top w:val="single" w:sz="8" w:space="0" w:color="5B5B5B"/>
              <w:left w:val="single" w:sz="8" w:space="0" w:color="5B5B5B"/>
              <w:bottom w:val="single" w:sz="8" w:space="0" w:color="5B5B5B"/>
              <w:right w:val="single" w:sz="8" w:space="0" w:color="5B5B5B"/>
            </w:tcBorders>
            <w:shd w:val="clear" w:color="auto" w:fill="FEFEFE"/>
            <w:vAlign w:val="center"/>
          </w:tcPr>
          <w:p w:rsidR="006D1D36" w:rsidRPr="00931DA4" w:rsidRDefault="006D1D36" w:rsidP="00931DA4">
            <w:pPr>
              <w:rPr>
                <w:rFonts w:asciiTheme="minorEastAsia" w:hAnsiTheme="minorEastAsia"/>
                <w:szCs w:val="21"/>
              </w:rPr>
            </w:pPr>
            <w:r w:rsidRPr="00931DA4">
              <w:rPr>
                <w:rFonts w:asciiTheme="minorEastAsia" w:hAnsiTheme="minorEastAsia" w:hint="eastAsia"/>
                <w:szCs w:val="21"/>
              </w:rPr>
              <w:t>显示全院集采药品任务指标、完成量、科室月任务完成率TOP前十、科室任务量占比的折线图、柱形图、扇形图任意一种样式展示。</w:t>
            </w:r>
            <w:r>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val="restart"/>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数据分析</w:t>
            </w:r>
          </w:p>
        </w:tc>
        <w:tc>
          <w:tcPr>
            <w:tcW w:w="1275" w:type="dxa"/>
            <w:vMerge w:val="restart"/>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使用量分析</w:t>
            </w: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使用量统计月度分析表</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查询药品月度使用量信息</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月度使用量对比</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查询药品环比与同比对比信息</w:t>
            </w:r>
            <w:r w:rsidR="004871B3">
              <w:rPr>
                <w:rFonts w:asciiTheme="minorEastAsia" w:hAnsiTheme="minorEastAsia" w:hint="eastAsia"/>
                <w:szCs w:val="21"/>
              </w:rPr>
              <w:t>（提供功能截图，并加盖投标人公章）</w:t>
            </w:r>
          </w:p>
        </w:tc>
      </w:tr>
      <w:tr w:rsidR="00B5330B" w:rsidRPr="00931DA4" w:rsidTr="00FA2C04">
        <w:trPr>
          <w:trHeight w:val="379"/>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同类药品统计表</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查询集采药品、完全可替代、部分可替代、一定程度可替代药品的使用量以及占比信息。</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val="restart"/>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任务量分析</w:t>
            </w: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502197" w:rsidP="00931DA4">
            <w:pPr>
              <w:rPr>
                <w:rFonts w:asciiTheme="minorEastAsia" w:hAnsiTheme="minorEastAsia"/>
                <w:szCs w:val="21"/>
              </w:rPr>
            </w:pPr>
            <w:r>
              <w:rPr>
                <w:rFonts w:asciiTheme="minorEastAsia" w:hAnsiTheme="minorEastAsia" w:hint="eastAsia"/>
                <w:szCs w:val="21"/>
              </w:rPr>
              <w:t>▲</w:t>
            </w:r>
            <w:r w:rsidR="00B5330B" w:rsidRPr="00931DA4">
              <w:rPr>
                <w:rFonts w:asciiTheme="minorEastAsia" w:hAnsiTheme="minorEastAsia" w:hint="eastAsia"/>
                <w:szCs w:val="21"/>
              </w:rPr>
              <w:t>全院任务量分析</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查询全院任务量的集采药品数据</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全院任务量趋势分析</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全院任务量趋势分析的折线图、饼图展示，折线图支持导出功能。</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502197" w:rsidP="00931DA4">
            <w:pPr>
              <w:rPr>
                <w:rFonts w:asciiTheme="minorEastAsia" w:hAnsiTheme="minorEastAsia"/>
                <w:szCs w:val="21"/>
              </w:rPr>
            </w:pPr>
            <w:r>
              <w:rPr>
                <w:rFonts w:asciiTheme="minorEastAsia" w:hAnsiTheme="minorEastAsia" w:hint="eastAsia"/>
                <w:szCs w:val="21"/>
              </w:rPr>
              <w:t>▲</w:t>
            </w:r>
            <w:r w:rsidR="00B5330B" w:rsidRPr="00931DA4">
              <w:rPr>
                <w:rFonts w:asciiTheme="minorEastAsia" w:hAnsiTheme="minorEastAsia" w:hint="eastAsia"/>
                <w:szCs w:val="21"/>
              </w:rPr>
              <w:t>科室任务量分析</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科室任务量的集采药品数据展示</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科室任务量趋势分析</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科室任务量趋势分析的折线图、饼图展示，折线图支持导出功能。</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502197" w:rsidP="00931DA4">
            <w:pPr>
              <w:rPr>
                <w:rFonts w:asciiTheme="minorEastAsia" w:hAnsiTheme="minorEastAsia"/>
                <w:szCs w:val="21"/>
              </w:rPr>
            </w:pPr>
            <w:r>
              <w:rPr>
                <w:rFonts w:asciiTheme="minorEastAsia" w:hAnsiTheme="minorEastAsia" w:hint="eastAsia"/>
                <w:szCs w:val="21"/>
              </w:rPr>
              <w:t>▲</w:t>
            </w:r>
            <w:r w:rsidR="00B5330B" w:rsidRPr="00931DA4">
              <w:rPr>
                <w:rFonts w:asciiTheme="minorEastAsia" w:hAnsiTheme="minorEastAsia" w:hint="eastAsia"/>
                <w:szCs w:val="21"/>
              </w:rPr>
              <w:t>医疗组任务量分析</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医疗组任务量的集采药品数据展示</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医疗组任务量趋势分析</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医疗组任务量趋势分析的折线图、饼图展示，折线图支持导出功能。</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502197" w:rsidP="00931DA4">
            <w:pPr>
              <w:rPr>
                <w:rFonts w:asciiTheme="minorEastAsia" w:hAnsiTheme="minorEastAsia"/>
                <w:szCs w:val="21"/>
              </w:rPr>
            </w:pPr>
            <w:r>
              <w:rPr>
                <w:rFonts w:asciiTheme="minorEastAsia" w:hAnsiTheme="minorEastAsia" w:hint="eastAsia"/>
                <w:szCs w:val="21"/>
              </w:rPr>
              <w:t>▲</w:t>
            </w:r>
            <w:r w:rsidR="00B5330B" w:rsidRPr="00931DA4">
              <w:rPr>
                <w:rFonts w:asciiTheme="minorEastAsia" w:hAnsiTheme="minorEastAsia" w:hint="eastAsia"/>
                <w:szCs w:val="21"/>
              </w:rPr>
              <w:t>医生任务量分析</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医生任务量的集采药品数据展示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医生任务量趋势分析</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医生任务量趋势分析的折线图、饼图展示，折线图支持导出功能。</w:t>
            </w:r>
            <w:r w:rsidR="004871B3">
              <w:rPr>
                <w:rFonts w:asciiTheme="minorEastAsia" w:hAnsiTheme="minorEastAsia" w:hint="eastAsia"/>
                <w:szCs w:val="21"/>
              </w:rPr>
              <w:t>（提供功能截图，并加盖投</w:t>
            </w:r>
            <w:r w:rsidR="004871B3">
              <w:rPr>
                <w:rFonts w:asciiTheme="minorEastAsia" w:hAnsiTheme="minorEastAsia" w:hint="eastAsia"/>
                <w:szCs w:val="21"/>
              </w:rPr>
              <w:lastRenderedPageBreak/>
              <w:t>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药品诊断使用分析</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集采药品诊断人数的占比统计信息展示</w:t>
            </w:r>
            <w:r w:rsidR="007A39BE">
              <w:rPr>
                <w:rFonts w:asciiTheme="minorEastAsia" w:hAnsiTheme="minorEastAsia" w:hint="eastAsia"/>
                <w:szCs w:val="21"/>
              </w:rPr>
              <w:t>。</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val="restart"/>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替代药品使用分析</w:t>
            </w: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替代药品使用量占比</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替代药品使用量占比信息展示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替代药品趋势分析</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替代药品趋势分析信息展示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替代药品占比分析</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替代药品占比分析信息展示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中选药品使用分析</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中选与非中选药品使用量占比分析</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val="restart"/>
            <w:tcBorders>
              <w:top w:val="single" w:sz="8" w:space="0" w:color="5B5B5B"/>
              <w:left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监测内容分析</w:t>
            </w: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药品有效性分析</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原使用原研药、首次换药、首次换药率、二次换药率等信息展示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left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费用结构监测</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集采药品使用量与上年度同月药品使用量DDDS以及药品费用的信息展示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left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科室异常使用情况统计</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科室集采药品异常使用情况统计信息展示</w:t>
            </w:r>
            <w:r w:rsidR="007A39BE">
              <w:rPr>
                <w:rFonts w:asciiTheme="minorEastAsia" w:hAnsiTheme="minorEastAsia" w:hint="eastAsia"/>
                <w:szCs w:val="21"/>
              </w:rPr>
              <w:t>。</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临床使用干预</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干预情况统计</w:t>
            </w:r>
            <w:r w:rsidR="007A39BE">
              <w:rPr>
                <w:rFonts w:asciiTheme="minorEastAsia" w:hAnsiTheme="minorEastAsia" w:hint="eastAsia"/>
                <w:szCs w:val="21"/>
              </w:rPr>
              <w:t>。</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val="restart"/>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排名统计</w:t>
            </w: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全院排名统计</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全院集采药品的目标值与完成率的信息展示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科室排名统计</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科室集采药品的目标值与完成率的信息展示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医疗组排名统计</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医疗组集采药品的目标值与完成率的信息展示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医生排名统计</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医生集采药品的目标值与完成率的信息展示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药品排名统计</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药品集采药品的目标值与完成率的信息展示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val="restart"/>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库存监测</w:t>
            </w: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库存监测</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医院集采药品的库存量数据的显示以及警戒值的维护</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库存预警</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医院集采药品的库存量与警戒值的数据展示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采购量统计</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医院集采药品的采购量、任务量以及消耗量的数据展示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val="restart"/>
            <w:tcBorders>
              <w:top w:val="single" w:sz="8" w:space="0" w:color="5B5B5B"/>
              <w:left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绩效分配</w:t>
            </w:r>
          </w:p>
        </w:tc>
        <w:tc>
          <w:tcPr>
            <w:tcW w:w="1275"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绩效分配</w:t>
            </w: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绩效分配</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根据医保结余金额，自动实现相关品种的奖励绩效分配，实现科室、医师、管理层多维度自动分配</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left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首年使用清单</w:t>
            </w: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首年使用清单</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对首年纳入集采的药品进行用药统计，并可以对上一年的使用量进行对比</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left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val="restart"/>
            <w:tcBorders>
              <w:top w:val="single" w:sz="8" w:space="0" w:color="5B5B5B"/>
              <w:left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权重统计</w:t>
            </w: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科室统计</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统计科室集采药品的使用情况，占全院的比重</w:t>
            </w:r>
          </w:p>
        </w:tc>
      </w:tr>
      <w:tr w:rsidR="00B5330B" w:rsidRPr="00931DA4" w:rsidTr="003C1F3D">
        <w:trPr>
          <w:trHeight w:val="20"/>
          <w:jc w:val="center"/>
        </w:trPr>
        <w:tc>
          <w:tcPr>
            <w:tcW w:w="1135" w:type="dxa"/>
            <w:vMerge/>
            <w:tcBorders>
              <w:left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left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医疗组统计</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统计医疗组集采药品的使用情况，占全院的比重</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医生统计</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统计医生集采药品的使用情况，占全院的比重</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val="restart"/>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用药权限</w:t>
            </w:r>
          </w:p>
        </w:tc>
        <w:tc>
          <w:tcPr>
            <w:tcW w:w="1275" w:type="dxa"/>
            <w:vMerge w:val="restart"/>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bookmarkStart w:id="0" w:name="OLE_LINK1"/>
            <w:r w:rsidRPr="00931DA4">
              <w:rPr>
                <w:rFonts w:asciiTheme="minorEastAsia" w:hAnsiTheme="minorEastAsia" w:hint="eastAsia"/>
                <w:szCs w:val="21"/>
              </w:rPr>
              <w:t>用药权限</w:t>
            </w:r>
            <w:bookmarkEnd w:id="0"/>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502197" w:rsidP="00931DA4">
            <w:pPr>
              <w:rPr>
                <w:rFonts w:asciiTheme="minorEastAsia" w:hAnsiTheme="minorEastAsia"/>
                <w:szCs w:val="21"/>
              </w:rPr>
            </w:pPr>
            <w:r>
              <w:rPr>
                <w:rFonts w:asciiTheme="minorEastAsia" w:hAnsiTheme="minorEastAsia" w:hint="eastAsia"/>
                <w:szCs w:val="21"/>
              </w:rPr>
              <w:t>▲</w:t>
            </w:r>
            <w:r w:rsidR="00B5330B" w:rsidRPr="00931DA4">
              <w:rPr>
                <w:rFonts w:asciiTheme="minorEastAsia" w:hAnsiTheme="minorEastAsia" w:hint="eastAsia"/>
                <w:szCs w:val="21"/>
              </w:rPr>
              <w:t>用药权限</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医院集采药品的用药权限的规则维护，在临床医生开具非集采药品时给予提示。同时提示医生对应集采药品的任务量情况</w:t>
            </w:r>
            <w:r w:rsidR="00FA2C04">
              <w:rPr>
                <w:rFonts w:asciiTheme="minorEastAsia" w:hAnsiTheme="minorEastAsia" w:hint="eastAsia"/>
                <w:szCs w:val="21"/>
              </w:rPr>
              <w:t>、</w:t>
            </w:r>
            <w:r w:rsidRPr="00931DA4">
              <w:rPr>
                <w:rFonts w:asciiTheme="minorEastAsia" w:hAnsiTheme="minorEastAsia" w:hint="eastAsia"/>
                <w:szCs w:val="21"/>
              </w:rPr>
              <w:t>序时完成情况。</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left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left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502197" w:rsidP="00931DA4">
            <w:pPr>
              <w:rPr>
                <w:rFonts w:asciiTheme="minorEastAsia" w:hAnsiTheme="minorEastAsia"/>
                <w:szCs w:val="21"/>
              </w:rPr>
            </w:pPr>
            <w:r>
              <w:rPr>
                <w:rFonts w:asciiTheme="minorEastAsia" w:hAnsiTheme="minorEastAsia" w:hint="eastAsia"/>
                <w:szCs w:val="21"/>
              </w:rPr>
              <w:t>▲</w:t>
            </w:r>
            <w:r w:rsidR="00B5330B" w:rsidRPr="00931DA4">
              <w:rPr>
                <w:rFonts w:asciiTheme="minorEastAsia" w:hAnsiTheme="minorEastAsia" w:hint="eastAsia"/>
                <w:szCs w:val="21"/>
              </w:rPr>
              <w:t>用药豁免</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医院集采药品的用药豁免的规则维护</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502197" w:rsidP="00931DA4">
            <w:pPr>
              <w:rPr>
                <w:rFonts w:asciiTheme="minorEastAsia" w:hAnsiTheme="minorEastAsia"/>
                <w:szCs w:val="21"/>
              </w:rPr>
            </w:pPr>
            <w:r>
              <w:rPr>
                <w:rFonts w:asciiTheme="minorEastAsia" w:hAnsiTheme="minorEastAsia" w:hint="eastAsia"/>
                <w:szCs w:val="21"/>
              </w:rPr>
              <w:t>▲</w:t>
            </w:r>
            <w:r w:rsidR="00B5330B" w:rsidRPr="00931DA4">
              <w:rPr>
                <w:rFonts w:asciiTheme="minorEastAsia" w:hAnsiTheme="minorEastAsia" w:hint="eastAsia"/>
                <w:szCs w:val="21"/>
              </w:rPr>
              <w:t>患者管理</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可以根据既往用药情况，梳理出医院可以使用非集采药品的患者目录，同时提供临床在线申请用药功能</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val="restart"/>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任务量管理</w:t>
            </w:r>
          </w:p>
        </w:tc>
        <w:tc>
          <w:tcPr>
            <w:tcW w:w="1275" w:type="dxa"/>
            <w:vMerge w:val="restart"/>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任务分配</w:t>
            </w:r>
          </w:p>
        </w:tc>
        <w:tc>
          <w:tcPr>
            <w:tcW w:w="1701" w:type="dxa"/>
            <w:tcBorders>
              <w:top w:val="single" w:sz="8" w:space="0" w:color="5B5B5B"/>
              <w:left w:val="single" w:sz="8" w:space="0" w:color="5B5B5B"/>
              <w:right w:val="single" w:sz="8" w:space="0" w:color="5B5B5B"/>
            </w:tcBorders>
            <w:shd w:val="clear" w:color="auto" w:fill="FEFEFE"/>
            <w:vAlign w:val="center"/>
          </w:tcPr>
          <w:p w:rsidR="00B5330B" w:rsidRPr="00931DA4" w:rsidRDefault="00502197" w:rsidP="00931DA4">
            <w:pPr>
              <w:rPr>
                <w:rFonts w:asciiTheme="minorEastAsia" w:hAnsiTheme="minorEastAsia"/>
                <w:szCs w:val="21"/>
              </w:rPr>
            </w:pPr>
            <w:r>
              <w:rPr>
                <w:rFonts w:asciiTheme="minorEastAsia" w:hAnsiTheme="minorEastAsia" w:hint="eastAsia"/>
                <w:szCs w:val="21"/>
              </w:rPr>
              <w:t>▲</w:t>
            </w:r>
            <w:r w:rsidR="00B5330B" w:rsidRPr="00931DA4">
              <w:rPr>
                <w:rFonts w:asciiTheme="minorEastAsia" w:hAnsiTheme="minorEastAsia" w:hint="eastAsia"/>
                <w:szCs w:val="21"/>
              </w:rPr>
              <w:t>任务分配</w:t>
            </w:r>
          </w:p>
        </w:tc>
        <w:tc>
          <w:tcPr>
            <w:tcW w:w="4479" w:type="dxa"/>
            <w:tcBorders>
              <w:top w:val="single" w:sz="8" w:space="0" w:color="5B5B5B"/>
              <w:left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医生、医疗组、科室的任务分配</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502197" w:rsidP="00931DA4">
            <w:pPr>
              <w:rPr>
                <w:rFonts w:asciiTheme="minorEastAsia" w:hAnsiTheme="minorEastAsia"/>
                <w:szCs w:val="21"/>
              </w:rPr>
            </w:pPr>
            <w:r>
              <w:rPr>
                <w:rFonts w:asciiTheme="minorEastAsia" w:hAnsiTheme="minorEastAsia" w:hint="eastAsia"/>
                <w:szCs w:val="21"/>
              </w:rPr>
              <w:t>▲</w:t>
            </w:r>
            <w:r w:rsidR="00B5330B" w:rsidRPr="00931DA4">
              <w:rPr>
                <w:rFonts w:asciiTheme="minorEastAsia" w:hAnsiTheme="minorEastAsia" w:hint="eastAsia"/>
                <w:szCs w:val="21"/>
              </w:rPr>
              <w:t>药品分配查看</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药品分配查看的数据展示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502197" w:rsidP="00931DA4">
            <w:pPr>
              <w:rPr>
                <w:rFonts w:asciiTheme="minorEastAsia" w:hAnsiTheme="minorEastAsia"/>
                <w:szCs w:val="21"/>
              </w:rPr>
            </w:pPr>
            <w:r>
              <w:rPr>
                <w:rFonts w:asciiTheme="minorEastAsia" w:hAnsiTheme="minorEastAsia" w:hint="eastAsia"/>
                <w:szCs w:val="21"/>
              </w:rPr>
              <w:t>▲</w:t>
            </w:r>
            <w:r w:rsidR="00B5330B" w:rsidRPr="00931DA4">
              <w:rPr>
                <w:rFonts w:asciiTheme="minorEastAsia" w:hAnsiTheme="minorEastAsia" w:hint="eastAsia"/>
                <w:szCs w:val="21"/>
              </w:rPr>
              <w:t>医生分配查看</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7A39BE" w:rsidRDefault="00B5330B" w:rsidP="00931DA4">
            <w:pPr>
              <w:rPr>
                <w:rFonts w:asciiTheme="minorEastAsia" w:hAnsiTheme="minorEastAsia"/>
                <w:b/>
                <w:bCs/>
                <w:szCs w:val="21"/>
              </w:rPr>
            </w:pPr>
            <w:r w:rsidRPr="00931DA4">
              <w:rPr>
                <w:rFonts w:asciiTheme="minorEastAsia" w:hAnsiTheme="minorEastAsia" w:hint="eastAsia"/>
                <w:szCs w:val="21"/>
              </w:rPr>
              <w:t>医生分配查看数据展示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502197" w:rsidP="00931DA4">
            <w:pPr>
              <w:rPr>
                <w:rFonts w:asciiTheme="minorEastAsia" w:hAnsiTheme="minorEastAsia"/>
                <w:szCs w:val="21"/>
              </w:rPr>
            </w:pPr>
            <w:r>
              <w:rPr>
                <w:rFonts w:asciiTheme="minorEastAsia" w:hAnsiTheme="minorEastAsia" w:hint="eastAsia"/>
                <w:szCs w:val="21"/>
              </w:rPr>
              <w:t>▲</w:t>
            </w:r>
            <w:r w:rsidR="00B5330B" w:rsidRPr="00931DA4">
              <w:rPr>
                <w:rFonts w:asciiTheme="minorEastAsia" w:hAnsiTheme="minorEastAsia" w:hint="eastAsia"/>
                <w:szCs w:val="21"/>
              </w:rPr>
              <w:t>医疗组分配查看</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7A39BE" w:rsidRDefault="00B5330B" w:rsidP="00931DA4">
            <w:pPr>
              <w:rPr>
                <w:rFonts w:asciiTheme="minorEastAsia" w:hAnsiTheme="minorEastAsia"/>
                <w:b/>
                <w:bCs/>
                <w:szCs w:val="21"/>
              </w:rPr>
            </w:pPr>
            <w:r w:rsidRPr="00931DA4">
              <w:rPr>
                <w:rFonts w:asciiTheme="minorEastAsia" w:hAnsiTheme="minorEastAsia" w:hint="eastAsia"/>
                <w:szCs w:val="21"/>
              </w:rPr>
              <w:t>医疗组分配查看数据展示任务量管理任务分配</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502197" w:rsidP="00931DA4">
            <w:pPr>
              <w:rPr>
                <w:rFonts w:asciiTheme="minorEastAsia" w:hAnsiTheme="minorEastAsia"/>
                <w:szCs w:val="21"/>
              </w:rPr>
            </w:pPr>
            <w:r>
              <w:rPr>
                <w:rFonts w:asciiTheme="minorEastAsia" w:hAnsiTheme="minorEastAsia" w:hint="eastAsia"/>
                <w:szCs w:val="21"/>
              </w:rPr>
              <w:t>▲</w:t>
            </w:r>
            <w:r w:rsidR="00B5330B" w:rsidRPr="00931DA4">
              <w:rPr>
                <w:rFonts w:asciiTheme="minorEastAsia" w:hAnsiTheme="minorEastAsia" w:hint="eastAsia"/>
                <w:szCs w:val="21"/>
              </w:rPr>
              <w:t>科室分配查看</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科室分配查看数据展示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val="restart"/>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采购量预估</w:t>
            </w: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新建预测单</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新建预测单信息填写页面</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采购量预测单</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采购量预测单数据展示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val="restart"/>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数据维护</w:t>
            </w:r>
          </w:p>
        </w:tc>
        <w:tc>
          <w:tcPr>
            <w:tcW w:w="1275" w:type="dxa"/>
            <w:vMerge w:val="restart"/>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字典维护</w:t>
            </w: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药品字典维护</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医院集采药品以及首年集采药品的维护</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科室字典位数</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科室字典信息展示</w:t>
            </w:r>
            <w:r w:rsidR="007A39BE">
              <w:rPr>
                <w:rFonts w:asciiTheme="minorEastAsia" w:hAnsiTheme="minorEastAsia" w:hint="eastAsia"/>
                <w:szCs w:val="21"/>
              </w:rPr>
              <w:t>。</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医生字典维护</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医生字典信息展示</w:t>
            </w:r>
            <w:r w:rsidR="007A39BE">
              <w:rPr>
                <w:rFonts w:asciiTheme="minorEastAsia" w:hAnsiTheme="minorEastAsia" w:hint="eastAsia"/>
                <w:szCs w:val="21"/>
              </w:rPr>
              <w:t>。</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医疗组字典维护</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医疗组字典维护信息展示</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基础数据维护</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E66984">
              <w:rPr>
                <w:rFonts w:asciiTheme="minorEastAsia" w:hAnsiTheme="minorEastAsia" w:hint="eastAsia"/>
                <w:color w:val="000000" w:themeColor="text1"/>
                <w:szCs w:val="21"/>
              </w:rPr>
              <w:t>各省的集采药品数据</w:t>
            </w:r>
            <w:r w:rsidR="00E66984" w:rsidRPr="00E66984">
              <w:rPr>
                <w:rFonts w:asciiTheme="minorEastAsia" w:hAnsiTheme="minorEastAsia" w:hint="eastAsia"/>
                <w:color w:val="000000" w:themeColor="text1"/>
                <w:szCs w:val="21"/>
              </w:rPr>
              <w:t>维护、展示</w:t>
            </w:r>
            <w:r w:rsidR="007A39BE" w:rsidRPr="00E66984">
              <w:rPr>
                <w:rFonts w:asciiTheme="minorEastAsia" w:hAnsiTheme="minorEastAsia" w:hint="eastAsia"/>
                <w:color w:val="000000" w:themeColor="text1"/>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药品通用名维护</w:t>
            </w:r>
          </w:p>
        </w:tc>
        <w:tc>
          <w:tcPr>
            <w:tcW w:w="4479" w:type="dxa"/>
            <w:tcBorders>
              <w:top w:val="single" w:sz="8" w:space="0" w:color="5B5B5B"/>
              <w:left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药品通用名维护信息的展示</w:t>
            </w:r>
            <w:r w:rsidR="007A39BE">
              <w:rPr>
                <w:rFonts w:asciiTheme="minorEastAsia" w:hAnsiTheme="minorEastAsia" w:hint="eastAsia"/>
                <w:szCs w:val="21"/>
              </w:rPr>
              <w:t>。</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集采药品字典维护</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集采药品字典维护信息展示</w:t>
            </w:r>
            <w:r w:rsidR="007A39BE">
              <w:rPr>
                <w:rFonts w:asciiTheme="minorEastAsia" w:hAnsiTheme="minorEastAsia" w:hint="eastAsia"/>
                <w:szCs w:val="21"/>
              </w:rPr>
              <w:t>。</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合同用量协议周期维护</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合同用量协议周期</w:t>
            </w:r>
            <w:r w:rsidR="007A39BE">
              <w:rPr>
                <w:rFonts w:asciiTheme="minorEastAsia" w:hAnsiTheme="minorEastAsia" w:hint="eastAsia"/>
                <w:szCs w:val="21"/>
              </w:rPr>
              <w:t>。</w:t>
            </w:r>
            <w:r w:rsidR="004871B3">
              <w:rPr>
                <w:rFonts w:asciiTheme="minorEastAsia" w:hAnsiTheme="minorEastAsia" w:hint="eastAsia"/>
                <w:szCs w:val="21"/>
              </w:rPr>
              <w:t>（提供功能截图，并加盖投标人公章）</w:t>
            </w:r>
          </w:p>
        </w:tc>
      </w:tr>
      <w:tr w:rsidR="00B5330B" w:rsidRPr="00931DA4" w:rsidTr="003C1F3D">
        <w:trPr>
          <w:trHeight w:val="20"/>
          <w:jc w:val="center"/>
        </w:trPr>
        <w:tc>
          <w:tcPr>
            <w:tcW w:w="1135" w:type="dxa"/>
            <w:vMerge w:val="restart"/>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用户管理</w:t>
            </w:r>
          </w:p>
        </w:tc>
        <w:tc>
          <w:tcPr>
            <w:tcW w:w="1275" w:type="dxa"/>
            <w:vMerge w:val="restart"/>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管理员系统</w:t>
            </w: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2F5F01">
            <w:pPr>
              <w:rPr>
                <w:rFonts w:asciiTheme="minorEastAsia" w:hAnsiTheme="minorEastAsia"/>
                <w:szCs w:val="21"/>
              </w:rPr>
            </w:pPr>
            <w:r w:rsidRPr="00931DA4">
              <w:rPr>
                <w:rFonts w:asciiTheme="minorEastAsia" w:hAnsiTheme="minorEastAsia" w:hint="eastAsia"/>
                <w:szCs w:val="21"/>
              </w:rPr>
              <w:t>管理员管理</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jc w:val="left"/>
              <w:rPr>
                <w:rFonts w:asciiTheme="minorEastAsia" w:hAnsiTheme="minorEastAsia"/>
                <w:szCs w:val="21"/>
              </w:rPr>
            </w:pPr>
            <w:r w:rsidRPr="00931DA4">
              <w:rPr>
                <w:rFonts w:asciiTheme="minorEastAsia" w:hAnsiTheme="minorEastAsia" w:hint="eastAsia"/>
                <w:szCs w:val="21"/>
              </w:rPr>
              <w:t>用户的账号新增以及权限的编辑</w:t>
            </w:r>
            <w:r w:rsidR="007A39BE">
              <w:rPr>
                <w:rFonts w:asciiTheme="minorEastAsia" w:hAnsiTheme="minorEastAsia" w:hint="eastAsia"/>
                <w:szCs w:val="21"/>
              </w:rPr>
              <w:t>。</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角色管理</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jc w:val="left"/>
              <w:rPr>
                <w:rFonts w:asciiTheme="minorEastAsia" w:hAnsiTheme="minorEastAsia"/>
                <w:szCs w:val="21"/>
              </w:rPr>
            </w:pPr>
            <w:r w:rsidRPr="00931DA4">
              <w:rPr>
                <w:rFonts w:asciiTheme="minorEastAsia" w:hAnsiTheme="minorEastAsia" w:hint="eastAsia"/>
                <w:szCs w:val="21"/>
              </w:rPr>
              <w:t>各个角色的系统菜单权限显示</w:t>
            </w:r>
            <w:r w:rsidR="007A39BE">
              <w:rPr>
                <w:rFonts w:asciiTheme="minorEastAsia" w:hAnsiTheme="minorEastAsia" w:hint="eastAsia"/>
                <w:szCs w:val="21"/>
              </w:rPr>
              <w:t>。</w:t>
            </w:r>
          </w:p>
        </w:tc>
      </w:tr>
      <w:tr w:rsidR="00B5330B" w:rsidRPr="00931DA4" w:rsidTr="003C1F3D">
        <w:trPr>
          <w:trHeight w:val="20"/>
          <w:jc w:val="center"/>
        </w:trPr>
        <w:tc>
          <w:tcPr>
            <w:tcW w:w="113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275" w:type="dxa"/>
            <w:vMerge/>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p>
        </w:tc>
        <w:tc>
          <w:tcPr>
            <w:tcW w:w="1701"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系统菜单</w:t>
            </w:r>
          </w:p>
        </w:tc>
        <w:tc>
          <w:tcPr>
            <w:tcW w:w="4479"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jc w:val="left"/>
              <w:rPr>
                <w:rFonts w:asciiTheme="minorEastAsia" w:hAnsiTheme="minorEastAsia"/>
                <w:szCs w:val="21"/>
              </w:rPr>
            </w:pPr>
            <w:r w:rsidRPr="00931DA4">
              <w:rPr>
                <w:rFonts w:asciiTheme="minorEastAsia" w:hAnsiTheme="minorEastAsia" w:hint="eastAsia"/>
                <w:szCs w:val="21"/>
              </w:rPr>
              <w:t>系统菜单的新增以及编辑</w:t>
            </w:r>
            <w:r w:rsidR="007A39BE">
              <w:rPr>
                <w:rFonts w:asciiTheme="minorEastAsia" w:hAnsiTheme="minorEastAsia" w:hint="eastAsia"/>
                <w:szCs w:val="21"/>
              </w:rPr>
              <w:t>。</w:t>
            </w:r>
          </w:p>
        </w:tc>
      </w:tr>
      <w:tr w:rsidR="00B5330B" w:rsidRPr="00931DA4" w:rsidTr="003C1F3D">
        <w:trPr>
          <w:trHeight w:val="20"/>
          <w:jc w:val="center"/>
        </w:trPr>
        <w:tc>
          <w:tcPr>
            <w:tcW w:w="1135"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rPr>
                <w:rFonts w:asciiTheme="minorEastAsia" w:hAnsiTheme="minorEastAsia"/>
                <w:szCs w:val="21"/>
              </w:rPr>
            </w:pPr>
            <w:r w:rsidRPr="00931DA4">
              <w:rPr>
                <w:rFonts w:asciiTheme="minorEastAsia" w:hAnsiTheme="minorEastAsia" w:hint="eastAsia"/>
                <w:szCs w:val="21"/>
              </w:rPr>
              <w:t>接口</w:t>
            </w:r>
          </w:p>
        </w:tc>
        <w:tc>
          <w:tcPr>
            <w:tcW w:w="1275"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E66984" w:rsidP="00931DA4">
            <w:pPr>
              <w:rPr>
                <w:rFonts w:asciiTheme="minorEastAsia" w:hAnsiTheme="minorEastAsia"/>
                <w:szCs w:val="21"/>
              </w:rPr>
            </w:pPr>
            <w:r>
              <w:rPr>
                <w:rFonts w:asciiTheme="minorEastAsia" w:hAnsiTheme="minorEastAsia" w:hint="eastAsia"/>
                <w:szCs w:val="21"/>
              </w:rPr>
              <w:t>▲</w:t>
            </w:r>
            <w:r w:rsidR="00B5330B" w:rsidRPr="00931DA4">
              <w:rPr>
                <w:rFonts w:asciiTheme="minorEastAsia" w:hAnsiTheme="minorEastAsia" w:hint="eastAsia"/>
                <w:szCs w:val="21"/>
              </w:rPr>
              <w:t>系统接口</w:t>
            </w:r>
          </w:p>
        </w:tc>
        <w:tc>
          <w:tcPr>
            <w:tcW w:w="6180" w:type="dxa"/>
            <w:gridSpan w:val="2"/>
            <w:tcBorders>
              <w:top w:val="single" w:sz="8" w:space="0" w:color="5B5B5B"/>
              <w:left w:val="single" w:sz="8" w:space="0" w:color="5B5B5B"/>
              <w:bottom w:val="single" w:sz="8" w:space="0" w:color="5B5B5B"/>
              <w:right w:val="single" w:sz="8" w:space="0" w:color="5B5B5B"/>
            </w:tcBorders>
            <w:shd w:val="clear" w:color="auto" w:fill="FEFEFE"/>
            <w:vAlign w:val="center"/>
          </w:tcPr>
          <w:p w:rsidR="00B5330B" w:rsidRPr="00931DA4" w:rsidRDefault="00B5330B" w:rsidP="00931DA4">
            <w:pPr>
              <w:jc w:val="left"/>
              <w:rPr>
                <w:rFonts w:asciiTheme="minorEastAsia" w:hAnsiTheme="minorEastAsia"/>
                <w:szCs w:val="21"/>
              </w:rPr>
            </w:pPr>
            <w:r w:rsidRPr="00931DA4">
              <w:rPr>
                <w:rFonts w:asciiTheme="minorEastAsia" w:hAnsiTheme="minorEastAsia" w:hint="eastAsia"/>
                <w:szCs w:val="21"/>
              </w:rPr>
              <w:t>包括但不限于跟医院信息集成平台、HIS、电子病历等系统的无缝对接</w:t>
            </w:r>
          </w:p>
        </w:tc>
      </w:tr>
      <w:tr w:rsidR="00791671" w:rsidRPr="00931DA4" w:rsidTr="003C1F3D">
        <w:trPr>
          <w:trHeight w:val="20"/>
          <w:jc w:val="center"/>
        </w:trPr>
        <w:tc>
          <w:tcPr>
            <w:tcW w:w="1135"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791671" w:rsidRPr="00931DA4" w:rsidRDefault="00791671" w:rsidP="00931DA4">
            <w:pPr>
              <w:rPr>
                <w:rFonts w:asciiTheme="minorEastAsia" w:hAnsiTheme="minorEastAsia"/>
                <w:color w:val="000000"/>
                <w:szCs w:val="21"/>
              </w:rPr>
            </w:pPr>
            <w:r w:rsidRPr="00931DA4">
              <w:rPr>
                <w:rFonts w:asciiTheme="minorEastAsia" w:hAnsiTheme="minorEastAsia" w:hint="eastAsia"/>
                <w:color w:val="000000"/>
                <w:szCs w:val="21"/>
              </w:rPr>
              <w:t>日志管理</w:t>
            </w:r>
          </w:p>
        </w:tc>
        <w:tc>
          <w:tcPr>
            <w:tcW w:w="1275"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791671" w:rsidRPr="00931DA4" w:rsidRDefault="00791671" w:rsidP="00931DA4">
            <w:pPr>
              <w:rPr>
                <w:rFonts w:asciiTheme="minorEastAsia" w:hAnsiTheme="minorEastAsia"/>
                <w:color w:val="000000"/>
                <w:szCs w:val="21"/>
              </w:rPr>
            </w:pPr>
            <w:r w:rsidRPr="00931DA4">
              <w:rPr>
                <w:rFonts w:asciiTheme="minorEastAsia" w:hAnsiTheme="minorEastAsia" w:hint="eastAsia"/>
                <w:color w:val="000000"/>
                <w:szCs w:val="21"/>
              </w:rPr>
              <w:t>日志管理</w:t>
            </w:r>
          </w:p>
        </w:tc>
        <w:tc>
          <w:tcPr>
            <w:tcW w:w="6180" w:type="dxa"/>
            <w:gridSpan w:val="2"/>
            <w:tcBorders>
              <w:top w:val="single" w:sz="8" w:space="0" w:color="5B5B5B"/>
              <w:left w:val="single" w:sz="8" w:space="0" w:color="5B5B5B"/>
              <w:bottom w:val="single" w:sz="8" w:space="0" w:color="5B5B5B"/>
              <w:right w:val="single" w:sz="8" w:space="0" w:color="5B5B5B"/>
            </w:tcBorders>
            <w:shd w:val="clear" w:color="auto" w:fill="FEFEFE"/>
            <w:vAlign w:val="center"/>
          </w:tcPr>
          <w:p w:rsidR="00791671" w:rsidRPr="00931DA4" w:rsidRDefault="00791671" w:rsidP="00931DA4">
            <w:pPr>
              <w:jc w:val="left"/>
              <w:rPr>
                <w:rFonts w:asciiTheme="minorEastAsia" w:hAnsiTheme="minorEastAsia"/>
                <w:color w:val="000000"/>
                <w:szCs w:val="21"/>
              </w:rPr>
            </w:pPr>
            <w:r w:rsidRPr="00931DA4">
              <w:rPr>
                <w:rFonts w:asciiTheme="minorEastAsia" w:hAnsiTheme="minorEastAsia" w:hint="eastAsia"/>
                <w:color w:val="000000"/>
                <w:szCs w:val="21"/>
              </w:rPr>
              <w:t>系统提供完善的日志记录，便于记录系统的操作行为，确保数据安全。</w:t>
            </w:r>
          </w:p>
        </w:tc>
      </w:tr>
      <w:tr w:rsidR="00791671" w:rsidRPr="00931DA4" w:rsidTr="003C1F3D">
        <w:trPr>
          <w:trHeight w:val="20"/>
          <w:jc w:val="center"/>
        </w:trPr>
        <w:tc>
          <w:tcPr>
            <w:tcW w:w="1135"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791671" w:rsidRPr="00931DA4" w:rsidRDefault="00791671" w:rsidP="00931DA4">
            <w:pPr>
              <w:rPr>
                <w:rFonts w:asciiTheme="minorEastAsia" w:hAnsiTheme="minorEastAsia"/>
                <w:color w:val="000000"/>
                <w:szCs w:val="21"/>
              </w:rPr>
            </w:pPr>
            <w:r w:rsidRPr="00931DA4">
              <w:rPr>
                <w:rFonts w:asciiTheme="minorEastAsia" w:hAnsiTheme="minorEastAsia" w:hint="eastAsia"/>
                <w:color w:val="000000"/>
                <w:szCs w:val="21"/>
              </w:rPr>
              <w:t>拓展功能</w:t>
            </w:r>
          </w:p>
        </w:tc>
        <w:tc>
          <w:tcPr>
            <w:tcW w:w="1275"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791671" w:rsidRPr="00931DA4" w:rsidRDefault="00791671" w:rsidP="00931DA4">
            <w:pPr>
              <w:rPr>
                <w:rFonts w:asciiTheme="minorEastAsia" w:hAnsiTheme="minorEastAsia"/>
                <w:color w:val="000000"/>
                <w:szCs w:val="21"/>
              </w:rPr>
            </w:pPr>
            <w:r w:rsidRPr="00931DA4">
              <w:rPr>
                <w:rFonts w:asciiTheme="minorEastAsia" w:hAnsiTheme="minorEastAsia" w:hint="eastAsia"/>
                <w:color w:val="000000"/>
                <w:szCs w:val="21"/>
              </w:rPr>
              <w:t>基药、重点药品</w:t>
            </w:r>
          </w:p>
        </w:tc>
        <w:tc>
          <w:tcPr>
            <w:tcW w:w="6180" w:type="dxa"/>
            <w:gridSpan w:val="2"/>
            <w:tcBorders>
              <w:top w:val="single" w:sz="8" w:space="0" w:color="5B5B5B"/>
              <w:left w:val="single" w:sz="8" w:space="0" w:color="5B5B5B"/>
              <w:bottom w:val="single" w:sz="8" w:space="0" w:color="5B5B5B"/>
              <w:right w:val="single" w:sz="8" w:space="0" w:color="5B5B5B"/>
            </w:tcBorders>
            <w:shd w:val="clear" w:color="auto" w:fill="FEFEFE"/>
            <w:vAlign w:val="center"/>
          </w:tcPr>
          <w:p w:rsidR="00791671" w:rsidRPr="00931DA4" w:rsidRDefault="00791671" w:rsidP="00931DA4">
            <w:pPr>
              <w:jc w:val="left"/>
              <w:rPr>
                <w:rFonts w:asciiTheme="minorEastAsia" w:hAnsiTheme="minorEastAsia"/>
                <w:color w:val="000000"/>
                <w:szCs w:val="21"/>
              </w:rPr>
            </w:pPr>
            <w:r w:rsidRPr="00931DA4">
              <w:rPr>
                <w:rFonts w:asciiTheme="minorEastAsia" w:hAnsiTheme="minorEastAsia" w:hint="eastAsia"/>
                <w:color w:val="000000"/>
                <w:szCs w:val="21"/>
              </w:rPr>
              <w:t>可以协助医院利用集采管控的流程对基本药物等进行管理。</w:t>
            </w:r>
          </w:p>
        </w:tc>
      </w:tr>
      <w:tr w:rsidR="00791671" w:rsidRPr="00931DA4" w:rsidTr="003C1F3D">
        <w:trPr>
          <w:trHeight w:val="20"/>
          <w:jc w:val="center"/>
        </w:trPr>
        <w:tc>
          <w:tcPr>
            <w:tcW w:w="1135" w:type="dxa"/>
            <w:tcBorders>
              <w:top w:val="single" w:sz="8" w:space="0" w:color="5B5B5B"/>
              <w:left w:val="single" w:sz="8" w:space="0" w:color="5B5B5B"/>
              <w:bottom w:val="single" w:sz="8" w:space="0" w:color="5B5B5B"/>
              <w:right w:val="single" w:sz="8" w:space="0" w:color="5B5B5B"/>
            </w:tcBorders>
            <w:shd w:val="clear" w:color="auto" w:fill="FEFEFE"/>
            <w:vAlign w:val="center"/>
          </w:tcPr>
          <w:p w:rsidR="00791671" w:rsidRPr="00931DA4" w:rsidRDefault="00791671" w:rsidP="00931DA4">
            <w:pPr>
              <w:rPr>
                <w:rFonts w:asciiTheme="minorEastAsia" w:hAnsiTheme="minorEastAsia"/>
                <w:color w:val="000000"/>
                <w:szCs w:val="21"/>
              </w:rPr>
            </w:pPr>
            <w:r w:rsidRPr="00931DA4">
              <w:rPr>
                <w:rFonts w:asciiTheme="minorEastAsia" w:hAnsiTheme="minorEastAsia" w:hint="eastAsia"/>
                <w:color w:val="000000"/>
                <w:szCs w:val="21"/>
              </w:rPr>
              <w:t>国产化支持</w:t>
            </w:r>
          </w:p>
        </w:tc>
        <w:tc>
          <w:tcPr>
            <w:tcW w:w="7455" w:type="dxa"/>
            <w:gridSpan w:val="3"/>
            <w:tcBorders>
              <w:top w:val="single" w:sz="8" w:space="0" w:color="5B5B5B"/>
              <w:left w:val="single" w:sz="8" w:space="0" w:color="5B5B5B"/>
              <w:bottom w:val="single" w:sz="8" w:space="0" w:color="5B5B5B"/>
              <w:right w:val="single" w:sz="8" w:space="0" w:color="5B5B5B"/>
            </w:tcBorders>
            <w:shd w:val="clear" w:color="auto" w:fill="FEFEFE"/>
            <w:vAlign w:val="center"/>
          </w:tcPr>
          <w:p w:rsidR="00791671" w:rsidRPr="00931DA4" w:rsidRDefault="00502197" w:rsidP="00931DA4">
            <w:pPr>
              <w:jc w:val="left"/>
              <w:rPr>
                <w:rFonts w:asciiTheme="minorEastAsia" w:hAnsiTheme="minorEastAsia"/>
                <w:color w:val="000000"/>
                <w:szCs w:val="21"/>
              </w:rPr>
            </w:pPr>
            <w:r>
              <w:rPr>
                <w:rFonts w:asciiTheme="minorEastAsia" w:hAnsiTheme="minorEastAsia" w:hint="eastAsia"/>
                <w:szCs w:val="21"/>
              </w:rPr>
              <w:t>▲</w:t>
            </w:r>
            <w:r w:rsidR="00791671" w:rsidRPr="00931DA4">
              <w:rPr>
                <w:rFonts w:asciiTheme="minorEastAsia" w:hAnsiTheme="minorEastAsia" w:cs="宋体" w:hint="eastAsia"/>
                <w:color w:val="000000"/>
                <w:kern w:val="0"/>
                <w:szCs w:val="21"/>
                <w:shd w:val="clear" w:color="auto" w:fill="FFFFFF"/>
              </w:rPr>
              <w:t>系统必须支持信创改造，后期需根据国家政策或院方要求进行改造，改造后需满足国家信创要求。信创改造只得收取的改造所需的国产化数据库及配套硬件成本费用，不得再收取软件或其他接口费用。</w:t>
            </w:r>
            <w:r w:rsidR="00791671" w:rsidRPr="005C3DF6">
              <w:rPr>
                <w:rFonts w:asciiTheme="minorEastAsia" w:hAnsiTheme="minorEastAsia" w:cs="宋体" w:hint="eastAsia"/>
                <w:color w:val="000000"/>
                <w:kern w:val="0"/>
                <w:szCs w:val="21"/>
                <w:shd w:val="clear" w:color="auto" w:fill="FFFFFF"/>
              </w:rPr>
              <w:t>（提供原厂承诺函）</w:t>
            </w:r>
          </w:p>
        </w:tc>
      </w:tr>
    </w:tbl>
    <w:p w:rsidR="00791DCD" w:rsidRPr="00791DCD" w:rsidRDefault="00791DCD" w:rsidP="00791DCD">
      <w:pPr>
        <w:pStyle w:val="a7"/>
        <w:spacing w:before="0" w:beforeAutospacing="0" w:after="0" w:afterAutospacing="0" w:line="360" w:lineRule="auto"/>
        <w:jc w:val="both"/>
        <w:textAlignment w:val="baseline"/>
        <w:rPr>
          <w:rFonts w:asciiTheme="minorEastAsia" w:eastAsiaTheme="minorEastAsia" w:hAnsiTheme="minorEastAsia"/>
          <w:b/>
          <w:bCs/>
          <w:color w:val="333333"/>
          <w:sz w:val="21"/>
          <w:szCs w:val="21"/>
        </w:rPr>
      </w:pPr>
      <w:bookmarkStart w:id="1" w:name="_GoBack"/>
      <w:bookmarkEnd w:id="1"/>
      <w:r w:rsidRPr="003C1F3D">
        <w:rPr>
          <w:rFonts w:asciiTheme="minorEastAsia" w:eastAsiaTheme="minorEastAsia" w:hAnsiTheme="minorEastAsia" w:hint="eastAsia"/>
          <w:b/>
          <w:bCs/>
          <w:color w:val="333333"/>
          <w:sz w:val="21"/>
          <w:szCs w:val="21"/>
        </w:rPr>
        <w:t>三、评分标准</w:t>
      </w:r>
    </w:p>
    <w:tbl>
      <w:tblPr>
        <w:tblpPr w:leftFromText="180" w:rightFromText="180" w:vertAnchor="text" w:horzAnchor="margin" w:tblpY="91"/>
        <w:tblW w:w="9087" w:type="dxa"/>
        <w:tblLayout w:type="fixed"/>
        <w:tblCellMar>
          <w:left w:w="113" w:type="dxa"/>
        </w:tblCellMar>
        <w:tblLook w:val="04A0" w:firstRow="1" w:lastRow="0" w:firstColumn="1" w:lastColumn="0" w:noHBand="0" w:noVBand="1"/>
      </w:tblPr>
      <w:tblGrid>
        <w:gridCol w:w="1384"/>
        <w:gridCol w:w="1275"/>
        <w:gridCol w:w="6428"/>
      </w:tblGrid>
      <w:tr w:rsidR="00791DCD" w:rsidRPr="00791DCD" w:rsidTr="00791DCD">
        <w:trPr>
          <w:trHeight w:val="494"/>
        </w:trPr>
        <w:tc>
          <w:tcPr>
            <w:tcW w:w="1384" w:type="dxa"/>
            <w:tcBorders>
              <w:top w:val="single" w:sz="4" w:space="0" w:color="000000"/>
              <w:left w:val="single" w:sz="4" w:space="0" w:color="000000"/>
              <w:bottom w:val="single" w:sz="4" w:space="0" w:color="000000"/>
              <w:right w:val="single" w:sz="4" w:space="0" w:color="000000"/>
            </w:tcBorders>
            <w:vAlign w:val="center"/>
          </w:tcPr>
          <w:p w:rsidR="00791DCD" w:rsidRPr="00791DCD" w:rsidRDefault="00791DCD" w:rsidP="00791DCD">
            <w:pPr>
              <w:widowControl/>
              <w:jc w:val="center"/>
              <w:rPr>
                <w:rFonts w:asciiTheme="minorEastAsia" w:hAnsiTheme="minorEastAsia"/>
                <w:b/>
                <w:bCs/>
                <w:color w:val="000000"/>
                <w:szCs w:val="21"/>
              </w:rPr>
            </w:pPr>
            <w:r w:rsidRPr="00791DCD">
              <w:rPr>
                <w:rFonts w:asciiTheme="minorEastAsia" w:hAnsiTheme="minorEastAsia" w:hint="eastAsia"/>
                <w:b/>
                <w:bCs/>
                <w:color w:val="000000"/>
                <w:szCs w:val="21"/>
              </w:rPr>
              <w:t>项目</w:t>
            </w:r>
          </w:p>
        </w:tc>
        <w:tc>
          <w:tcPr>
            <w:tcW w:w="1275" w:type="dxa"/>
            <w:tcBorders>
              <w:top w:val="single" w:sz="4" w:space="0" w:color="000000"/>
              <w:left w:val="single" w:sz="4" w:space="0" w:color="000000"/>
              <w:bottom w:val="single" w:sz="4" w:space="0" w:color="000000"/>
              <w:right w:val="single" w:sz="4" w:space="0" w:color="000000"/>
            </w:tcBorders>
            <w:vAlign w:val="center"/>
          </w:tcPr>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b/>
                <w:bCs/>
                <w:color w:val="000000"/>
                <w:szCs w:val="21"/>
              </w:rPr>
              <w:t>评审指标</w:t>
            </w:r>
          </w:p>
        </w:tc>
        <w:tc>
          <w:tcPr>
            <w:tcW w:w="6428" w:type="dxa"/>
            <w:tcBorders>
              <w:top w:val="single" w:sz="4" w:space="0" w:color="000000"/>
              <w:left w:val="single" w:sz="4" w:space="0" w:color="000000"/>
              <w:bottom w:val="single" w:sz="4" w:space="0" w:color="000000"/>
              <w:right w:val="single" w:sz="4" w:space="0" w:color="000000"/>
            </w:tcBorders>
            <w:vAlign w:val="center"/>
          </w:tcPr>
          <w:p w:rsidR="00791DCD" w:rsidRPr="00791DCD" w:rsidRDefault="00791DCD" w:rsidP="00791DCD">
            <w:pPr>
              <w:widowControl/>
              <w:ind w:firstLineChars="200" w:firstLine="422"/>
              <w:jc w:val="center"/>
              <w:rPr>
                <w:rFonts w:asciiTheme="minorEastAsia" w:hAnsiTheme="minorEastAsia"/>
                <w:szCs w:val="21"/>
              </w:rPr>
            </w:pPr>
            <w:r w:rsidRPr="00791DCD">
              <w:rPr>
                <w:rFonts w:asciiTheme="minorEastAsia" w:hAnsiTheme="minorEastAsia" w:hint="eastAsia"/>
                <w:b/>
                <w:bCs/>
                <w:color w:val="000000"/>
                <w:szCs w:val="21"/>
              </w:rPr>
              <w:t>评分依据</w:t>
            </w:r>
          </w:p>
        </w:tc>
      </w:tr>
      <w:tr w:rsidR="00791DCD" w:rsidRPr="00791DCD" w:rsidTr="00791DCD">
        <w:trPr>
          <w:trHeight w:val="1037"/>
        </w:trPr>
        <w:tc>
          <w:tcPr>
            <w:tcW w:w="1384" w:type="dxa"/>
            <w:tcBorders>
              <w:top w:val="single" w:sz="4" w:space="0" w:color="000000"/>
              <w:left w:val="single" w:sz="4" w:space="0" w:color="000000"/>
              <w:bottom w:val="single" w:sz="4" w:space="0" w:color="auto"/>
              <w:right w:val="single" w:sz="4" w:space="0" w:color="000000"/>
            </w:tcBorders>
            <w:vAlign w:val="center"/>
          </w:tcPr>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价格</w:t>
            </w:r>
          </w:p>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（30分）</w:t>
            </w:r>
          </w:p>
        </w:tc>
        <w:tc>
          <w:tcPr>
            <w:tcW w:w="1275" w:type="dxa"/>
            <w:tcBorders>
              <w:top w:val="single" w:sz="4" w:space="0" w:color="000000"/>
              <w:left w:val="single" w:sz="4" w:space="0" w:color="000000"/>
              <w:bottom w:val="single" w:sz="4" w:space="0" w:color="auto"/>
              <w:right w:val="single" w:sz="4" w:space="0" w:color="000000"/>
            </w:tcBorders>
            <w:vAlign w:val="center"/>
          </w:tcPr>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投标报价</w:t>
            </w:r>
          </w:p>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（30分)</w:t>
            </w:r>
          </w:p>
        </w:tc>
        <w:tc>
          <w:tcPr>
            <w:tcW w:w="6428" w:type="dxa"/>
            <w:tcBorders>
              <w:top w:val="single" w:sz="4" w:space="0" w:color="000000"/>
              <w:left w:val="single" w:sz="4" w:space="0" w:color="000000"/>
              <w:bottom w:val="single" w:sz="4" w:space="0" w:color="auto"/>
              <w:right w:val="single" w:sz="4" w:space="0" w:color="000000"/>
            </w:tcBorders>
            <w:vAlign w:val="center"/>
          </w:tcPr>
          <w:p w:rsidR="00791DCD" w:rsidRPr="00791DCD" w:rsidRDefault="00791DCD" w:rsidP="00791DCD">
            <w:pPr>
              <w:ind w:firstLineChars="200" w:firstLine="420"/>
              <w:rPr>
                <w:rFonts w:asciiTheme="minorEastAsia" w:hAnsiTheme="minorEastAsia"/>
                <w:szCs w:val="21"/>
              </w:rPr>
            </w:pPr>
            <w:r w:rsidRPr="00791DCD">
              <w:rPr>
                <w:rFonts w:asciiTheme="minorEastAsia" w:hAnsiTheme="minorEastAsia" w:hint="eastAsia"/>
                <w:szCs w:val="21"/>
              </w:rPr>
              <w:t>综合评分法中的价格分统一采用低价优先法计算，以满足招标文件要求且价格最低的报价为投标基准价，其价格分为满分30分。其他投标人的价格分统一按照下列公式计算：价格得分＝（投标基准价/投标报价）×30。（保留两位小数）</w:t>
            </w:r>
          </w:p>
        </w:tc>
      </w:tr>
      <w:tr w:rsidR="00791DCD" w:rsidRPr="00791DCD" w:rsidTr="00791DCD">
        <w:trPr>
          <w:trHeight w:val="2388"/>
        </w:trPr>
        <w:tc>
          <w:tcPr>
            <w:tcW w:w="1384" w:type="dxa"/>
            <w:tcBorders>
              <w:top w:val="single" w:sz="4" w:space="0" w:color="000000"/>
              <w:left w:val="single" w:sz="4" w:space="0" w:color="000000"/>
              <w:right w:val="single" w:sz="4" w:space="0" w:color="000000"/>
            </w:tcBorders>
            <w:vAlign w:val="center"/>
          </w:tcPr>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技术</w:t>
            </w:r>
          </w:p>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w:t>
            </w:r>
            <w:r w:rsidRPr="00791DCD">
              <w:rPr>
                <w:rFonts w:asciiTheme="minorEastAsia" w:hAnsiTheme="minorEastAsia"/>
                <w:szCs w:val="21"/>
              </w:rPr>
              <w:t>30</w:t>
            </w:r>
            <w:r w:rsidRPr="00791DCD">
              <w:rPr>
                <w:rFonts w:asciiTheme="minorEastAsia" w:hAnsiTheme="minorEastAsia" w:hint="eastAsia"/>
                <w:szCs w:val="21"/>
              </w:rPr>
              <w:t>分）</w:t>
            </w:r>
          </w:p>
        </w:tc>
        <w:tc>
          <w:tcPr>
            <w:tcW w:w="1275" w:type="dxa"/>
            <w:tcBorders>
              <w:top w:val="single" w:sz="4" w:space="0" w:color="000000"/>
              <w:left w:val="single" w:sz="4" w:space="0" w:color="000000"/>
              <w:bottom w:val="single" w:sz="4" w:space="0" w:color="auto"/>
              <w:right w:val="single" w:sz="4" w:space="0" w:color="000000"/>
            </w:tcBorders>
            <w:vAlign w:val="center"/>
          </w:tcPr>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技术指标</w:t>
            </w:r>
          </w:p>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w:t>
            </w:r>
            <w:r w:rsidRPr="00791DCD">
              <w:rPr>
                <w:rFonts w:asciiTheme="minorEastAsia" w:hAnsiTheme="minorEastAsia"/>
                <w:szCs w:val="21"/>
              </w:rPr>
              <w:t>30</w:t>
            </w:r>
            <w:r w:rsidRPr="00791DCD">
              <w:rPr>
                <w:rFonts w:asciiTheme="minorEastAsia" w:hAnsiTheme="minorEastAsia" w:hint="eastAsia"/>
                <w:szCs w:val="21"/>
              </w:rPr>
              <w:t>分）</w:t>
            </w:r>
          </w:p>
        </w:tc>
        <w:tc>
          <w:tcPr>
            <w:tcW w:w="6428" w:type="dxa"/>
            <w:tcBorders>
              <w:top w:val="single" w:sz="4" w:space="0" w:color="000000"/>
              <w:left w:val="single" w:sz="4" w:space="0" w:color="000000"/>
              <w:bottom w:val="single" w:sz="4" w:space="0" w:color="auto"/>
              <w:right w:val="single" w:sz="4" w:space="0" w:color="000000"/>
            </w:tcBorders>
            <w:vAlign w:val="center"/>
          </w:tcPr>
          <w:p w:rsidR="00791DCD" w:rsidRPr="00791DCD" w:rsidRDefault="00791DCD" w:rsidP="00791DCD">
            <w:pPr>
              <w:ind w:firstLineChars="200" w:firstLine="420"/>
              <w:rPr>
                <w:rFonts w:asciiTheme="minorEastAsia" w:hAnsiTheme="minorEastAsia"/>
                <w:szCs w:val="21"/>
              </w:rPr>
            </w:pPr>
            <w:r w:rsidRPr="00791DCD">
              <w:rPr>
                <w:rFonts w:asciiTheme="minorEastAsia" w:hAnsiTheme="minorEastAsia" w:hint="eastAsia"/>
                <w:szCs w:val="21"/>
              </w:rPr>
              <w:t>投标人对招标文件具体项目需求的响应程度：全部响应即满足招标文件主要的技术指标、参数及服务要求的得</w:t>
            </w:r>
            <w:r w:rsidRPr="00791DCD">
              <w:rPr>
                <w:rFonts w:asciiTheme="minorEastAsia" w:hAnsiTheme="minorEastAsia"/>
                <w:szCs w:val="21"/>
              </w:rPr>
              <w:t>30</w:t>
            </w:r>
            <w:r w:rsidRPr="00791DCD">
              <w:rPr>
                <w:rFonts w:asciiTheme="minorEastAsia" w:hAnsiTheme="minorEastAsia" w:hint="eastAsia"/>
                <w:szCs w:val="21"/>
              </w:rPr>
              <w:t>分；标</w:t>
            </w:r>
            <w:r w:rsidRPr="00791DCD">
              <w:rPr>
                <w:rFonts w:asciiTheme="minorEastAsia" w:hAnsiTheme="minorEastAsia" w:hint="eastAsia"/>
                <w:bCs/>
                <w:szCs w:val="21"/>
              </w:rPr>
              <w:t>▲</w:t>
            </w:r>
            <w:r w:rsidRPr="00791DCD">
              <w:rPr>
                <w:rFonts w:asciiTheme="minorEastAsia" w:hAnsiTheme="minorEastAsia" w:hint="eastAsia"/>
                <w:szCs w:val="21"/>
              </w:rPr>
              <w:t>参数有1项不响应（或负偏离或未按要求提供截图等证明材料），扣</w:t>
            </w:r>
            <w:r w:rsidRPr="00791DCD">
              <w:rPr>
                <w:rFonts w:asciiTheme="minorEastAsia" w:hAnsiTheme="minorEastAsia"/>
                <w:szCs w:val="21"/>
              </w:rPr>
              <w:t>1</w:t>
            </w:r>
            <w:r w:rsidRPr="00791DCD">
              <w:rPr>
                <w:rFonts w:asciiTheme="minorEastAsia" w:hAnsiTheme="minorEastAsia" w:hint="eastAsia"/>
                <w:szCs w:val="21"/>
              </w:rPr>
              <w:t>分；非标</w:t>
            </w:r>
            <w:r w:rsidRPr="00791DCD">
              <w:rPr>
                <w:rFonts w:asciiTheme="minorEastAsia" w:hAnsiTheme="minorEastAsia" w:hint="eastAsia"/>
                <w:bCs/>
                <w:szCs w:val="21"/>
              </w:rPr>
              <w:t>▲</w:t>
            </w:r>
            <w:r w:rsidRPr="00791DCD">
              <w:rPr>
                <w:rFonts w:asciiTheme="minorEastAsia" w:hAnsiTheme="minorEastAsia" w:hint="eastAsia"/>
                <w:szCs w:val="21"/>
              </w:rPr>
              <w:t>参数有1项不响应（或负偏离或未按要求提供截图等证明材料），扣</w:t>
            </w:r>
            <w:r w:rsidRPr="00791DCD">
              <w:rPr>
                <w:rFonts w:asciiTheme="minorEastAsia" w:hAnsiTheme="minorEastAsia"/>
                <w:szCs w:val="21"/>
              </w:rPr>
              <w:t>0.5</w:t>
            </w:r>
            <w:r w:rsidRPr="00791DCD">
              <w:rPr>
                <w:rFonts w:asciiTheme="minorEastAsia" w:hAnsiTheme="minorEastAsia" w:hint="eastAsia"/>
                <w:szCs w:val="21"/>
              </w:rPr>
              <w:t>分；扣完为止，本项扣分不高于</w:t>
            </w:r>
            <w:r w:rsidRPr="00791DCD">
              <w:rPr>
                <w:rFonts w:asciiTheme="minorEastAsia" w:hAnsiTheme="minorEastAsia"/>
                <w:szCs w:val="21"/>
              </w:rPr>
              <w:t>3</w:t>
            </w:r>
            <w:r w:rsidRPr="00791DCD">
              <w:rPr>
                <w:rFonts w:asciiTheme="minorEastAsia" w:hAnsiTheme="minorEastAsia" w:hint="eastAsia"/>
                <w:szCs w:val="21"/>
              </w:rPr>
              <w:t>0分。（投标人需在偏离表中如实详细填列响应产品的参数及服务承诺等，并按要求提供相应证明材料，在偏离表中正确标明证明材料所在响应文件的页码位置，否则专家有权作负偏离处理）</w:t>
            </w:r>
          </w:p>
        </w:tc>
      </w:tr>
      <w:tr w:rsidR="00791DCD" w:rsidRPr="00791DCD" w:rsidTr="00791DCD">
        <w:trPr>
          <w:trHeight w:val="90"/>
        </w:trPr>
        <w:tc>
          <w:tcPr>
            <w:tcW w:w="1384" w:type="dxa"/>
            <w:vMerge w:val="restart"/>
            <w:tcBorders>
              <w:top w:val="single" w:sz="4" w:space="0" w:color="auto"/>
              <w:left w:val="single" w:sz="4" w:space="0" w:color="auto"/>
              <w:right w:val="single" w:sz="4" w:space="0" w:color="auto"/>
            </w:tcBorders>
            <w:vAlign w:val="center"/>
          </w:tcPr>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方案</w:t>
            </w:r>
          </w:p>
          <w:p w:rsidR="00791DCD" w:rsidRPr="00791DCD" w:rsidRDefault="00791DCD" w:rsidP="00791DCD">
            <w:pPr>
              <w:pStyle w:val="af1"/>
              <w:spacing w:before="0" w:after="0" w:line="240" w:lineRule="auto"/>
              <w:ind w:firstLine="0"/>
              <w:jc w:val="center"/>
              <w:rPr>
                <w:rFonts w:asciiTheme="minorEastAsia" w:eastAsiaTheme="minorEastAsia" w:hAnsiTheme="minorEastAsia"/>
                <w:sz w:val="21"/>
                <w:lang w:val="zh-CN" w:bidi="zh-CN"/>
              </w:rPr>
            </w:pPr>
            <w:r w:rsidRPr="00791DCD">
              <w:rPr>
                <w:rFonts w:asciiTheme="minorEastAsia" w:eastAsiaTheme="minorEastAsia" w:hAnsiTheme="minorEastAsia" w:hint="eastAsia"/>
                <w:sz w:val="21"/>
                <w:lang w:val="zh-CN" w:bidi="zh-CN"/>
              </w:rPr>
              <w:t>（1</w:t>
            </w:r>
            <w:r w:rsidRPr="00791DCD">
              <w:rPr>
                <w:rFonts w:asciiTheme="minorEastAsia" w:eastAsiaTheme="minorEastAsia" w:hAnsiTheme="minorEastAsia"/>
                <w:sz w:val="21"/>
                <w:lang w:val="zh-CN" w:bidi="zh-CN"/>
              </w:rPr>
              <w:t>5</w:t>
            </w:r>
            <w:r w:rsidRPr="00791DCD">
              <w:rPr>
                <w:rFonts w:asciiTheme="minorEastAsia" w:eastAsiaTheme="minorEastAsia" w:hAnsiTheme="minorEastAsia" w:hint="eastAsia"/>
                <w:sz w:val="21"/>
                <w:lang w:val="zh-CN" w:bidi="zh-CN"/>
              </w:rPr>
              <w:t>分）</w:t>
            </w:r>
          </w:p>
        </w:tc>
        <w:tc>
          <w:tcPr>
            <w:tcW w:w="1275" w:type="dxa"/>
            <w:tcBorders>
              <w:top w:val="single" w:sz="4" w:space="0" w:color="auto"/>
              <w:left w:val="single" w:sz="4" w:space="0" w:color="auto"/>
              <w:bottom w:val="single" w:sz="4" w:space="0" w:color="auto"/>
              <w:right w:val="single" w:sz="4" w:space="0" w:color="auto"/>
            </w:tcBorders>
            <w:vAlign w:val="center"/>
          </w:tcPr>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建设方案</w:t>
            </w:r>
          </w:p>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w:t>
            </w:r>
            <w:r w:rsidRPr="00791DCD">
              <w:rPr>
                <w:rFonts w:asciiTheme="minorEastAsia" w:hAnsiTheme="minorEastAsia"/>
                <w:szCs w:val="21"/>
              </w:rPr>
              <w:t>5</w:t>
            </w:r>
            <w:r w:rsidRPr="00791DCD">
              <w:rPr>
                <w:rFonts w:asciiTheme="minorEastAsia" w:hAnsiTheme="minorEastAsia" w:hint="eastAsia"/>
                <w:color w:val="000000"/>
                <w:szCs w:val="21"/>
              </w:rPr>
              <w:t>分</w:t>
            </w:r>
            <w:r w:rsidRPr="00791DCD">
              <w:rPr>
                <w:rFonts w:asciiTheme="minorEastAsia" w:hAnsiTheme="minorEastAsia" w:hint="eastAsia"/>
                <w:szCs w:val="21"/>
              </w:rPr>
              <w:t>）</w:t>
            </w:r>
          </w:p>
        </w:tc>
        <w:tc>
          <w:tcPr>
            <w:tcW w:w="6428" w:type="dxa"/>
            <w:tcBorders>
              <w:top w:val="single" w:sz="4" w:space="0" w:color="auto"/>
              <w:left w:val="single" w:sz="4" w:space="0" w:color="auto"/>
              <w:bottom w:val="single" w:sz="4" w:space="0" w:color="auto"/>
              <w:right w:val="single" w:sz="4" w:space="0" w:color="auto"/>
            </w:tcBorders>
            <w:vAlign w:val="center"/>
          </w:tcPr>
          <w:p w:rsidR="00791DCD" w:rsidRPr="00791DCD" w:rsidRDefault="00791DCD" w:rsidP="00791DCD">
            <w:pPr>
              <w:pStyle w:val="1"/>
              <w:spacing w:before="0" w:after="0" w:line="240" w:lineRule="auto"/>
              <w:ind w:firstLineChars="200" w:firstLine="420"/>
              <w:rPr>
                <w:rFonts w:asciiTheme="minorEastAsia" w:eastAsiaTheme="minorEastAsia" w:hAnsiTheme="minorEastAsia" w:cs="宋体"/>
              </w:rPr>
            </w:pPr>
            <w:r w:rsidRPr="00791DCD">
              <w:rPr>
                <w:rFonts w:asciiTheme="minorEastAsia" w:eastAsiaTheme="minorEastAsia" w:hAnsiTheme="minorEastAsia" w:cs="宋体" w:hint="eastAsia"/>
              </w:rPr>
              <w:t>投标人对项目整体设计方案符合国家、省、市信息化建设标准规范，对项目的背景、采购人信息化现状、建设目标、建设内容等情况能够充分理解、精准统计业务需求。专家根据方案的准确性和可行性进行综合评分。</w:t>
            </w:r>
          </w:p>
          <w:p w:rsidR="00791DCD" w:rsidRPr="00791DCD" w:rsidRDefault="00791DCD" w:rsidP="00791DCD">
            <w:pPr>
              <w:pStyle w:val="1"/>
              <w:spacing w:before="0" w:after="0" w:line="240" w:lineRule="auto"/>
              <w:ind w:firstLineChars="200" w:firstLine="420"/>
              <w:rPr>
                <w:rFonts w:asciiTheme="minorEastAsia" w:eastAsiaTheme="minorEastAsia" w:hAnsiTheme="minorEastAsia" w:cs="宋体"/>
                <w:bCs/>
              </w:rPr>
            </w:pPr>
            <w:r w:rsidRPr="00791DCD">
              <w:rPr>
                <w:rFonts w:asciiTheme="minorEastAsia" w:eastAsiaTheme="minorEastAsia" w:hAnsiTheme="minorEastAsia" w:cs="宋体" w:hint="eastAsia"/>
                <w:bCs/>
              </w:rPr>
              <w:t>方案内容准确全面，合理</w:t>
            </w:r>
            <w:r w:rsidRPr="00791DCD">
              <w:rPr>
                <w:rFonts w:asciiTheme="minorEastAsia" w:eastAsiaTheme="minorEastAsia" w:hAnsiTheme="minorEastAsia" w:cs="宋体" w:hint="eastAsia"/>
              </w:rPr>
              <w:t>可行的</w:t>
            </w:r>
            <w:r w:rsidRPr="00791DCD">
              <w:rPr>
                <w:rFonts w:asciiTheme="minorEastAsia" w:eastAsiaTheme="minorEastAsia" w:hAnsiTheme="minorEastAsia" w:cs="宋体" w:hint="eastAsia"/>
                <w:bCs/>
              </w:rPr>
              <w:t>，得</w:t>
            </w:r>
            <w:r w:rsidRPr="00791DCD">
              <w:rPr>
                <w:rFonts w:asciiTheme="minorEastAsia" w:eastAsiaTheme="minorEastAsia" w:hAnsiTheme="minorEastAsia" w:cs="宋体"/>
                <w:bCs/>
              </w:rPr>
              <w:t>5-4</w:t>
            </w:r>
            <w:r w:rsidRPr="00791DCD">
              <w:rPr>
                <w:rFonts w:asciiTheme="minorEastAsia" w:eastAsiaTheme="minorEastAsia" w:hAnsiTheme="minorEastAsia" w:cs="宋体" w:hint="eastAsia"/>
                <w:bCs/>
              </w:rPr>
              <w:t>分；</w:t>
            </w:r>
          </w:p>
          <w:p w:rsidR="00791DCD" w:rsidRPr="00791DCD" w:rsidRDefault="00791DCD" w:rsidP="00791DCD">
            <w:pPr>
              <w:pStyle w:val="1"/>
              <w:spacing w:before="0" w:after="0" w:line="240" w:lineRule="auto"/>
              <w:ind w:firstLineChars="200" w:firstLine="420"/>
              <w:rPr>
                <w:rFonts w:asciiTheme="minorEastAsia" w:eastAsiaTheme="minorEastAsia" w:hAnsiTheme="minorEastAsia" w:cs="宋体"/>
              </w:rPr>
            </w:pPr>
            <w:r w:rsidRPr="00791DCD">
              <w:rPr>
                <w:rFonts w:asciiTheme="minorEastAsia" w:eastAsiaTheme="minorEastAsia" w:hAnsiTheme="minorEastAsia" w:cs="宋体" w:hint="eastAsia"/>
              </w:rPr>
              <w:t>方案内容较全面，合理性、可行性一般的，得</w:t>
            </w:r>
            <w:r w:rsidRPr="00791DCD">
              <w:rPr>
                <w:rFonts w:asciiTheme="minorEastAsia" w:eastAsiaTheme="minorEastAsia" w:hAnsiTheme="minorEastAsia" w:cs="宋体"/>
              </w:rPr>
              <w:t>3-2</w:t>
            </w:r>
            <w:r w:rsidRPr="00791DCD">
              <w:rPr>
                <w:rFonts w:asciiTheme="minorEastAsia" w:eastAsiaTheme="minorEastAsia" w:hAnsiTheme="minorEastAsia" w:cs="宋体" w:hint="eastAsia"/>
              </w:rPr>
              <w:t xml:space="preserve"> 分；</w:t>
            </w:r>
          </w:p>
          <w:p w:rsidR="00791DCD" w:rsidRPr="00791DCD" w:rsidRDefault="00791DCD" w:rsidP="00791DCD">
            <w:pPr>
              <w:pStyle w:val="1"/>
              <w:spacing w:before="0" w:after="0" w:line="240" w:lineRule="auto"/>
              <w:ind w:firstLineChars="200" w:firstLine="420"/>
              <w:rPr>
                <w:rFonts w:asciiTheme="minorEastAsia" w:eastAsiaTheme="minorEastAsia" w:hAnsiTheme="minorEastAsia" w:cs="宋体"/>
                <w:b/>
                <w:bCs/>
              </w:rPr>
            </w:pPr>
            <w:r w:rsidRPr="00791DCD">
              <w:rPr>
                <w:rFonts w:asciiTheme="minorEastAsia" w:eastAsiaTheme="minorEastAsia" w:hAnsiTheme="minorEastAsia" w:cs="宋体" w:hint="eastAsia"/>
              </w:rPr>
              <w:t xml:space="preserve">方案内容不全面性，合理性、可行性欠缺的，得 </w:t>
            </w:r>
            <w:r w:rsidRPr="00791DCD">
              <w:rPr>
                <w:rFonts w:asciiTheme="minorEastAsia" w:eastAsiaTheme="minorEastAsia" w:hAnsiTheme="minorEastAsia" w:cs="宋体"/>
              </w:rPr>
              <w:t>1-0</w:t>
            </w:r>
            <w:r w:rsidRPr="00791DCD">
              <w:rPr>
                <w:rFonts w:asciiTheme="minorEastAsia" w:eastAsiaTheme="minorEastAsia" w:hAnsiTheme="minorEastAsia" w:cs="宋体" w:hint="eastAsia"/>
              </w:rPr>
              <w:t xml:space="preserve"> 分。</w:t>
            </w:r>
          </w:p>
        </w:tc>
      </w:tr>
      <w:tr w:rsidR="00791DCD" w:rsidRPr="00791DCD" w:rsidTr="00791DCD">
        <w:trPr>
          <w:trHeight w:val="1408"/>
        </w:trPr>
        <w:tc>
          <w:tcPr>
            <w:tcW w:w="1384" w:type="dxa"/>
            <w:vMerge/>
            <w:tcBorders>
              <w:left w:val="single" w:sz="4" w:space="0" w:color="auto"/>
              <w:right w:val="single" w:sz="4" w:space="0" w:color="auto"/>
            </w:tcBorders>
            <w:vAlign w:val="center"/>
          </w:tcPr>
          <w:p w:rsidR="00791DCD" w:rsidRPr="00791DCD" w:rsidRDefault="00791DCD" w:rsidP="00791DCD">
            <w:pPr>
              <w:widowControl/>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791DCD" w:rsidRDefault="00791DCD" w:rsidP="00791DCD">
            <w:pPr>
              <w:jc w:val="center"/>
              <w:rPr>
                <w:rFonts w:asciiTheme="minorEastAsia" w:hAnsiTheme="minorEastAsia"/>
                <w:szCs w:val="21"/>
              </w:rPr>
            </w:pPr>
            <w:r w:rsidRPr="00791DCD">
              <w:rPr>
                <w:rFonts w:asciiTheme="minorEastAsia" w:hAnsiTheme="minorEastAsia" w:hint="eastAsia"/>
                <w:szCs w:val="21"/>
              </w:rPr>
              <w:t>售后</w:t>
            </w:r>
          </w:p>
          <w:p w:rsidR="00791DCD" w:rsidRPr="00791DCD" w:rsidRDefault="00791DCD" w:rsidP="00791DCD">
            <w:pPr>
              <w:jc w:val="center"/>
              <w:rPr>
                <w:rFonts w:asciiTheme="minorEastAsia" w:hAnsiTheme="minorEastAsia"/>
                <w:szCs w:val="21"/>
              </w:rPr>
            </w:pPr>
            <w:r w:rsidRPr="00791DCD">
              <w:rPr>
                <w:rFonts w:asciiTheme="minorEastAsia" w:hAnsiTheme="minorEastAsia" w:hint="eastAsia"/>
                <w:szCs w:val="21"/>
              </w:rPr>
              <w:t>服务方案</w:t>
            </w:r>
          </w:p>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w:t>
            </w:r>
            <w:r w:rsidRPr="00791DCD">
              <w:rPr>
                <w:rFonts w:asciiTheme="minorEastAsia" w:hAnsiTheme="minorEastAsia"/>
                <w:szCs w:val="21"/>
              </w:rPr>
              <w:t>5</w:t>
            </w:r>
            <w:r w:rsidRPr="00791DCD">
              <w:rPr>
                <w:rFonts w:asciiTheme="minorEastAsia" w:hAnsiTheme="minorEastAsia" w:hint="eastAsia"/>
                <w:szCs w:val="21"/>
              </w:rPr>
              <w:t>分）</w:t>
            </w:r>
          </w:p>
        </w:tc>
        <w:tc>
          <w:tcPr>
            <w:tcW w:w="6428" w:type="dxa"/>
            <w:tcBorders>
              <w:top w:val="single" w:sz="4" w:space="0" w:color="auto"/>
              <w:left w:val="single" w:sz="4" w:space="0" w:color="auto"/>
              <w:bottom w:val="single" w:sz="4" w:space="0" w:color="auto"/>
              <w:right w:val="single" w:sz="4" w:space="0" w:color="auto"/>
            </w:tcBorders>
            <w:vAlign w:val="center"/>
          </w:tcPr>
          <w:p w:rsidR="00791DCD" w:rsidRPr="00791DCD" w:rsidRDefault="00791DCD" w:rsidP="00791DCD">
            <w:pPr>
              <w:pStyle w:val="1"/>
              <w:spacing w:before="0" w:after="0" w:line="240" w:lineRule="auto"/>
              <w:ind w:firstLineChars="200" w:firstLine="420"/>
              <w:rPr>
                <w:rFonts w:asciiTheme="minorEastAsia" w:eastAsiaTheme="minorEastAsia" w:hAnsiTheme="minorEastAsia" w:cs="宋体"/>
              </w:rPr>
            </w:pPr>
            <w:r w:rsidRPr="00791DCD">
              <w:rPr>
                <w:rFonts w:asciiTheme="minorEastAsia" w:eastAsiaTheme="minorEastAsia" w:hAnsiTheme="minorEastAsia" w:cs="宋体" w:hint="eastAsia"/>
              </w:rPr>
              <w:t>投标人提供售后服务方案，专家根据方案内容是否全面合理、切实可行进行综合评分。</w:t>
            </w:r>
          </w:p>
          <w:p w:rsidR="00791DCD" w:rsidRPr="00791DCD" w:rsidRDefault="00791DCD" w:rsidP="00791DCD">
            <w:pPr>
              <w:pStyle w:val="1"/>
              <w:spacing w:before="0" w:after="0" w:line="240" w:lineRule="auto"/>
              <w:ind w:firstLineChars="200" w:firstLine="420"/>
              <w:rPr>
                <w:rFonts w:asciiTheme="minorEastAsia" w:eastAsiaTheme="minorEastAsia" w:hAnsiTheme="minorEastAsia" w:cs="宋体"/>
                <w:bCs/>
              </w:rPr>
            </w:pPr>
            <w:r w:rsidRPr="00791DCD">
              <w:rPr>
                <w:rFonts w:asciiTheme="minorEastAsia" w:eastAsiaTheme="minorEastAsia" w:hAnsiTheme="minorEastAsia" w:cs="宋体" w:hint="eastAsia"/>
                <w:bCs/>
              </w:rPr>
              <w:t>方案内容全面，合理、</w:t>
            </w:r>
            <w:r w:rsidRPr="00791DCD">
              <w:rPr>
                <w:rFonts w:asciiTheme="minorEastAsia" w:eastAsiaTheme="minorEastAsia" w:hAnsiTheme="minorEastAsia" w:cs="宋体" w:hint="eastAsia"/>
              </w:rPr>
              <w:t>切实可行的</w:t>
            </w:r>
            <w:r w:rsidRPr="00791DCD">
              <w:rPr>
                <w:rFonts w:asciiTheme="minorEastAsia" w:eastAsiaTheme="minorEastAsia" w:hAnsiTheme="minorEastAsia" w:cs="宋体" w:hint="eastAsia"/>
                <w:bCs/>
              </w:rPr>
              <w:t>，得</w:t>
            </w:r>
            <w:r w:rsidRPr="00791DCD">
              <w:rPr>
                <w:rFonts w:asciiTheme="minorEastAsia" w:eastAsiaTheme="minorEastAsia" w:hAnsiTheme="minorEastAsia" w:cs="宋体"/>
                <w:bCs/>
              </w:rPr>
              <w:t>5-4</w:t>
            </w:r>
            <w:r w:rsidRPr="00791DCD">
              <w:rPr>
                <w:rFonts w:asciiTheme="minorEastAsia" w:eastAsiaTheme="minorEastAsia" w:hAnsiTheme="minorEastAsia" w:cs="宋体" w:hint="eastAsia"/>
                <w:bCs/>
              </w:rPr>
              <w:t>分；</w:t>
            </w:r>
          </w:p>
          <w:p w:rsidR="00791DCD" w:rsidRPr="00791DCD" w:rsidRDefault="00791DCD" w:rsidP="00791DCD">
            <w:pPr>
              <w:pStyle w:val="1"/>
              <w:spacing w:before="0" w:after="0" w:line="240" w:lineRule="auto"/>
              <w:ind w:firstLineChars="200" w:firstLine="420"/>
              <w:rPr>
                <w:rFonts w:asciiTheme="minorEastAsia" w:eastAsiaTheme="minorEastAsia" w:hAnsiTheme="minorEastAsia" w:cs="宋体"/>
                <w:bCs/>
              </w:rPr>
            </w:pPr>
            <w:r w:rsidRPr="00791DCD">
              <w:rPr>
                <w:rFonts w:asciiTheme="minorEastAsia" w:eastAsiaTheme="minorEastAsia" w:hAnsiTheme="minorEastAsia" w:cs="宋体" w:hint="eastAsia"/>
                <w:bCs/>
              </w:rPr>
              <w:t>方案内容较全面，合理性、可行性一般的，得</w:t>
            </w:r>
            <w:r w:rsidRPr="00791DCD">
              <w:rPr>
                <w:rFonts w:asciiTheme="minorEastAsia" w:eastAsiaTheme="minorEastAsia" w:hAnsiTheme="minorEastAsia" w:cs="宋体"/>
                <w:bCs/>
              </w:rPr>
              <w:t>3-2</w:t>
            </w:r>
            <w:r w:rsidRPr="00791DCD">
              <w:rPr>
                <w:rFonts w:asciiTheme="minorEastAsia" w:eastAsiaTheme="minorEastAsia" w:hAnsiTheme="minorEastAsia" w:cs="宋体" w:hint="eastAsia"/>
                <w:bCs/>
              </w:rPr>
              <w:t>分；</w:t>
            </w:r>
          </w:p>
          <w:p w:rsidR="00791DCD" w:rsidRPr="00791DCD" w:rsidRDefault="00791DCD" w:rsidP="00791DCD">
            <w:pPr>
              <w:pStyle w:val="1"/>
              <w:spacing w:before="0" w:after="0" w:line="240" w:lineRule="auto"/>
              <w:ind w:firstLineChars="200" w:firstLine="420"/>
              <w:rPr>
                <w:rFonts w:asciiTheme="minorEastAsia" w:eastAsiaTheme="minorEastAsia" w:hAnsiTheme="minorEastAsia" w:cs="宋体"/>
              </w:rPr>
            </w:pPr>
            <w:r w:rsidRPr="00791DCD">
              <w:rPr>
                <w:rFonts w:asciiTheme="minorEastAsia" w:eastAsiaTheme="minorEastAsia" w:hAnsiTheme="minorEastAsia" w:cs="宋体" w:hint="eastAsia"/>
                <w:bCs/>
              </w:rPr>
              <w:t>方案内容不全面，合理性、可行性欠缺的，得</w:t>
            </w:r>
            <w:r w:rsidRPr="00791DCD">
              <w:rPr>
                <w:rFonts w:asciiTheme="minorEastAsia" w:eastAsiaTheme="minorEastAsia" w:hAnsiTheme="minorEastAsia" w:cs="宋体"/>
                <w:bCs/>
              </w:rPr>
              <w:t>1-0</w:t>
            </w:r>
            <w:r w:rsidRPr="00791DCD">
              <w:rPr>
                <w:rFonts w:asciiTheme="minorEastAsia" w:eastAsiaTheme="minorEastAsia" w:hAnsiTheme="minorEastAsia" w:cs="宋体" w:hint="eastAsia"/>
                <w:bCs/>
              </w:rPr>
              <w:t>分。</w:t>
            </w:r>
          </w:p>
        </w:tc>
      </w:tr>
      <w:tr w:rsidR="00791DCD" w:rsidRPr="00791DCD" w:rsidTr="00791DCD">
        <w:trPr>
          <w:trHeight w:val="1408"/>
        </w:trPr>
        <w:tc>
          <w:tcPr>
            <w:tcW w:w="1384" w:type="dxa"/>
            <w:vMerge/>
            <w:tcBorders>
              <w:left w:val="single" w:sz="4" w:space="0" w:color="auto"/>
              <w:bottom w:val="single" w:sz="4" w:space="0" w:color="auto"/>
              <w:right w:val="single" w:sz="4" w:space="0" w:color="auto"/>
            </w:tcBorders>
            <w:vAlign w:val="center"/>
          </w:tcPr>
          <w:p w:rsidR="00791DCD" w:rsidRPr="00791DCD" w:rsidRDefault="00791DCD" w:rsidP="00791DCD">
            <w:pPr>
              <w:widowControl/>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791DCD" w:rsidRDefault="00791DCD" w:rsidP="00791DCD">
            <w:pPr>
              <w:jc w:val="center"/>
              <w:rPr>
                <w:rFonts w:asciiTheme="minorEastAsia" w:hAnsiTheme="minorEastAsia"/>
                <w:szCs w:val="21"/>
              </w:rPr>
            </w:pPr>
            <w:r w:rsidRPr="00791DCD">
              <w:rPr>
                <w:rFonts w:asciiTheme="minorEastAsia" w:hAnsiTheme="minorEastAsia" w:hint="eastAsia"/>
                <w:szCs w:val="21"/>
              </w:rPr>
              <w:t>出保后</w:t>
            </w:r>
          </w:p>
          <w:p w:rsidR="00791DCD" w:rsidRPr="00791DCD" w:rsidRDefault="00791DCD" w:rsidP="00791DCD">
            <w:pPr>
              <w:jc w:val="center"/>
              <w:rPr>
                <w:rFonts w:asciiTheme="minorEastAsia" w:hAnsiTheme="minorEastAsia"/>
                <w:szCs w:val="21"/>
              </w:rPr>
            </w:pPr>
            <w:r w:rsidRPr="00791DCD">
              <w:rPr>
                <w:rFonts w:asciiTheme="minorEastAsia" w:hAnsiTheme="minorEastAsia" w:hint="eastAsia"/>
                <w:szCs w:val="21"/>
              </w:rPr>
              <w:t>服务方案</w:t>
            </w:r>
          </w:p>
          <w:p w:rsidR="00791DCD" w:rsidRPr="00791DCD" w:rsidRDefault="00791DCD" w:rsidP="00791DCD">
            <w:pPr>
              <w:jc w:val="center"/>
              <w:rPr>
                <w:rFonts w:asciiTheme="minorEastAsia" w:hAnsiTheme="minorEastAsia"/>
                <w:szCs w:val="21"/>
              </w:rPr>
            </w:pPr>
            <w:r w:rsidRPr="00791DCD">
              <w:rPr>
                <w:rFonts w:asciiTheme="minorEastAsia" w:hAnsiTheme="minorEastAsia" w:hint="eastAsia"/>
                <w:szCs w:val="21"/>
              </w:rPr>
              <w:t>（5分）</w:t>
            </w:r>
          </w:p>
        </w:tc>
        <w:tc>
          <w:tcPr>
            <w:tcW w:w="6428" w:type="dxa"/>
            <w:tcBorders>
              <w:top w:val="single" w:sz="4" w:space="0" w:color="auto"/>
              <w:left w:val="single" w:sz="4" w:space="0" w:color="auto"/>
              <w:bottom w:val="single" w:sz="4" w:space="0" w:color="auto"/>
              <w:right w:val="single" w:sz="4" w:space="0" w:color="auto"/>
            </w:tcBorders>
            <w:vAlign w:val="center"/>
          </w:tcPr>
          <w:p w:rsidR="00791DCD" w:rsidRPr="00791DCD" w:rsidRDefault="00791DCD" w:rsidP="00791DCD">
            <w:pPr>
              <w:pStyle w:val="1"/>
              <w:spacing w:before="0" w:after="0" w:line="240" w:lineRule="auto"/>
              <w:ind w:firstLineChars="200" w:firstLine="420"/>
              <w:rPr>
                <w:rFonts w:asciiTheme="minorEastAsia" w:eastAsiaTheme="minorEastAsia" w:hAnsiTheme="minorEastAsia" w:cs="宋体"/>
              </w:rPr>
            </w:pPr>
            <w:r w:rsidRPr="00791DCD">
              <w:rPr>
                <w:rFonts w:asciiTheme="minorEastAsia" w:eastAsiaTheme="minorEastAsia" w:hAnsiTheme="minorEastAsia" w:cs="宋体" w:hint="eastAsia"/>
              </w:rPr>
              <w:t>投标人提供出保后服务方案，专家根据出保维保费用、服务内容、优惠条件等进行综合评分。</w:t>
            </w:r>
          </w:p>
          <w:p w:rsidR="00791DCD" w:rsidRPr="00791DCD" w:rsidRDefault="00791DCD" w:rsidP="00791DCD">
            <w:pPr>
              <w:pStyle w:val="1"/>
              <w:spacing w:before="0" w:after="0" w:line="240" w:lineRule="auto"/>
              <w:ind w:firstLineChars="200" w:firstLine="420"/>
              <w:rPr>
                <w:rFonts w:asciiTheme="minorEastAsia" w:eastAsiaTheme="minorEastAsia" w:hAnsiTheme="minorEastAsia" w:cs="宋体"/>
                <w:bCs/>
              </w:rPr>
            </w:pPr>
            <w:r w:rsidRPr="00791DCD">
              <w:rPr>
                <w:rFonts w:asciiTheme="minorEastAsia" w:eastAsiaTheme="minorEastAsia" w:hAnsiTheme="minorEastAsia" w:cs="宋体" w:hint="eastAsia"/>
                <w:bCs/>
              </w:rPr>
              <w:t>方案内容全面，合理、</w:t>
            </w:r>
            <w:r w:rsidRPr="00791DCD">
              <w:rPr>
                <w:rFonts w:asciiTheme="minorEastAsia" w:eastAsiaTheme="minorEastAsia" w:hAnsiTheme="minorEastAsia" w:cs="宋体" w:hint="eastAsia"/>
              </w:rPr>
              <w:t>切实可行的</w:t>
            </w:r>
            <w:r w:rsidRPr="00791DCD">
              <w:rPr>
                <w:rFonts w:asciiTheme="minorEastAsia" w:eastAsiaTheme="minorEastAsia" w:hAnsiTheme="minorEastAsia" w:cs="宋体" w:hint="eastAsia"/>
                <w:bCs/>
              </w:rPr>
              <w:t>，得</w:t>
            </w:r>
            <w:r w:rsidRPr="00791DCD">
              <w:rPr>
                <w:rFonts w:asciiTheme="minorEastAsia" w:eastAsiaTheme="minorEastAsia" w:hAnsiTheme="minorEastAsia" w:cs="宋体"/>
                <w:bCs/>
              </w:rPr>
              <w:t>5-4</w:t>
            </w:r>
            <w:r w:rsidRPr="00791DCD">
              <w:rPr>
                <w:rFonts w:asciiTheme="minorEastAsia" w:eastAsiaTheme="minorEastAsia" w:hAnsiTheme="minorEastAsia" w:cs="宋体" w:hint="eastAsia"/>
                <w:bCs/>
              </w:rPr>
              <w:t>分；</w:t>
            </w:r>
          </w:p>
          <w:p w:rsidR="00791DCD" w:rsidRPr="00791DCD" w:rsidRDefault="00791DCD" w:rsidP="00791DCD">
            <w:pPr>
              <w:pStyle w:val="1"/>
              <w:spacing w:before="0" w:after="0" w:line="240" w:lineRule="auto"/>
              <w:ind w:firstLineChars="200" w:firstLine="420"/>
              <w:rPr>
                <w:rFonts w:asciiTheme="minorEastAsia" w:eastAsiaTheme="minorEastAsia" w:hAnsiTheme="minorEastAsia" w:cs="宋体"/>
                <w:bCs/>
              </w:rPr>
            </w:pPr>
            <w:r w:rsidRPr="00791DCD">
              <w:rPr>
                <w:rFonts w:asciiTheme="minorEastAsia" w:eastAsiaTheme="minorEastAsia" w:hAnsiTheme="minorEastAsia" w:cs="宋体" w:hint="eastAsia"/>
                <w:bCs/>
              </w:rPr>
              <w:t>方案内容较全面，合理性、可行性一般的，得</w:t>
            </w:r>
            <w:r w:rsidRPr="00791DCD">
              <w:rPr>
                <w:rFonts w:asciiTheme="minorEastAsia" w:eastAsiaTheme="minorEastAsia" w:hAnsiTheme="minorEastAsia" w:cs="宋体"/>
                <w:bCs/>
              </w:rPr>
              <w:t>3-2</w:t>
            </w:r>
            <w:r w:rsidRPr="00791DCD">
              <w:rPr>
                <w:rFonts w:asciiTheme="minorEastAsia" w:eastAsiaTheme="minorEastAsia" w:hAnsiTheme="minorEastAsia" w:cs="宋体" w:hint="eastAsia"/>
                <w:bCs/>
              </w:rPr>
              <w:t>分；</w:t>
            </w:r>
          </w:p>
          <w:p w:rsidR="00791DCD" w:rsidRPr="00791DCD" w:rsidRDefault="00791DCD" w:rsidP="00791DCD">
            <w:pPr>
              <w:pStyle w:val="1"/>
              <w:spacing w:before="0" w:after="0" w:line="240" w:lineRule="auto"/>
              <w:ind w:firstLineChars="200" w:firstLine="420"/>
              <w:rPr>
                <w:rFonts w:asciiTheme="minorEastAsia" w:eastAsiaTheme="minorEastAsia" w:hAnsiTheme="minorEastAsia" w:cs="宋体"/>
              </w:rPr>
            </w:pPr>
            <w:r w:rsidRPr="00791DCD">
              <w:rPr>
                <w:rFonts w:asciiTheme="minorEastAsia" w:eastAsiaTheme="minorEastAsia" w:hAnsiTheme="minorEastAsia" w:cs="宋体" w:hint="eastAsia"/>
                <w:bCs/>
              </w:rPr>
              <w:t>方案内容不全面，合理性、可行性欠缺的，得</w:t>
            </w:r>
            <w:r w:rsidRPr="00791DCD">
              <w:rPr>
                <w:rFonts w:asciiTheme="minorEastAsia" w:eastAsiaTheme="minorEastAsia" w:hAnsiTheme="minorEastAsia" w:cs="宋体"/>
                <w:bCs/>
              </w:rPr>
              <w:t>1-0</w:t>
            </w:r>
            <w:r w:rsidRPr="00791DCD">
              <w:rPr>
                <w:rFonts w:asciiTheme="minorEastAsia" w:eastAsiaTheme="minorEastAsia" w:hAnsiTheme="minorEastAsia" w:cs="宋体" w:hint="eastAsia"/>
                <w:bCs/>
              </w:rPr>
              <w:t>分。</w:t>
            </w:r>
          </w:p>
        </w:tc>
      </w:tr>
      <w:tr w:rsidR="00791DCD" w:rsidRPr="00791DCD" w:rsidTr="00791DCD">
        <w:trPr>
          <w:trHeight w:val="882"/>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lastRenderedPageBreak/>
              <w:t>商务</w:t>
            </w:r>
          </w:p>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w:t>
            </w:r>
            <w:r w:rsidRPr="00791DCD">
              <w:rPr>
                <w:rFonts w:asciiTheme="minorEastAsia" w:hAnsiTheme="minorEastAsia"/>
                <w:szCs w:val="21"/>
              </w:rPr>
              <w:t>15</w:t>
            </w:r>
            <w:r w:rsidRPr="00791DCD">
              <w:rPr>
                <w:rFonts w:asciiTheme="minorEastAsia" w:hAnsiTheme="minorEastAsia" w:hint="eastAsia"/>
                <w:szCs w:val="21"/>
              </w:rPr>
              <w:t>分）</w:t>
            </w:r>
          </w:p>
        </w:tc>
        <w:tc>
          <w:tcPr>
            <w:tcW w:w="1275" w:type="dxa"/>
            <w:tcBorders>
              <w:top w:val="single" w:sz="4" w:space="0" w:color="auto"/>
              <w:left w:val="single" w:sz="4" w:space="0" w:color="auto"/>
              <w:bottom w:val="single" w:sz="4" w:space="0" w:color="auto"/>
              <w:right w:val="single" w:sz="4" w:space="0" w:color="auto"/>
            </w:tcBorders>
            <w:vAlign w:val="center"/>
          </w:tcPr>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履约能力</w:t>
            </w:r>
          </w:p>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w:t>
            </w:r>
            <w:r w:rsidRPr="00791DCD">
              <w:rPr>
                <w:rFonts w:asciiTheme="minorEastAsia" w:hAnsiTheme="minorEastAsia"/>
                <w:szCs w:val="21"/>
              </w:rPr>
              <w:t>5</w:t>
            </w:r>
            <w:r w:rsidRPr="00791DCD">
              <w:rPr>
                <w:rFonts w:asciiTheme="minorEastAsia" w:hAnsiTheme="minorEastAsia" w:hint="eastAsia"/>
                <w:szCs w:val="21"/>
              </w:rPr>
              <w:t>分）</w:t>
            </w:r>
          </w:p>
        </w:tc>
        <w:tc>
          <w:tcPr>
            <w:tcW w:w="6428" w:type="dxa"/>
            <w:tcBorders>
              <w:top w:val="single" w:sz="4" w:space="0" w:color="auto"/>
              <w:left w:val="single" w:sz="4" w:space="0" w:color="auto"/>
              <w:bottom w:val="single" w:sz="4" w:space="0" w:color="auto"/>
              <w:right w:val="single" w:sz="4" w:space="0" w:color="auto"/>
            </w:tcBorders>
            <w:vAlign w:val="center"/>
          </w:tcPr>
          <w:p w:rsidR="00791DCD" w:rsidRPr="00791DCD" w:rsidRDefault="00791DCD" w:rsidP="00791DCD">
            <w:pPr>
              <w:pStyle w:val="111"/>
              <w:spacing w:after="0"/>
              <w:ind w:firstLineChars="200" w:firstLine="420"/>
              <w:rPr>
                <w:rFonts w:asciiTheme="minorEastAsia" w:eastAsiaTheme="minorEastAsia" w:hAnsiTheme="minorEastAsia"/>
                <w:sz w:val="21"/>
                <w:szCs w:val="21"/>
              </w:rPr>
            </w:pPr>
            <w:r w:rsidRPr="00791DCD">
              <w:rPr>
                <w:rFonts w:asciiTheme="minorEastAsia" w:eastAsiaTheme="minorEastAsia" w:hAnsiTheme="minorEastAsia" w:cstheme="minorBidi" w:hint="eastAsia"/>
                <w:kern w:val="2"/>
                <w:sz w:val="21"/>
                <w:szCs w:val="21"/>
                <w:lang w:val="en-US" w:bidi="ar-SA"/>
              </w:rPr>
              <w:t>所投核心产品具有国家知识产权局颁布的著作权证书，提供著作权证书。</w:t>
            </w:r>
          </w:p>
        </w:tc>
      </w:tr>
      <w:tr w:rsidR="00791DCD" w:rsidRPr="00791DCD" w:rsidTr="00791DCD">
        <w:trPr>
          <w:trHeight w:val="497"/>
        </w:trPr>
        <w:tc>
          <w:tcPr>
            <w:tcW w:w="1384" w:type="dxa"/>
            <w:vMerge/>
            <w:tcBorders>
              <w:top w:val="single" w:sz="4" w:space="0" w:color="auto"/>
              <w:left w:val="single" w:sz="4" w:space="0" w:color="auto"/>
              <w:bottom w:val="single" w:sz="4" w:space="0" w:color="auto"/>
              <w:right w:val="single" w:sz="4" w:space="0" w:color="auto"/>
            </w:tcBorders>
            <w:vAlign w:val="center"/>
          </w:tcPr>
          <w:p w:rsidR="00791DCD" w:rsidRPr="00791DCD" w:rsidRDefault="00791DCD" w:rsidP="00791DCD">
            <w:pPr>
              <w:widowControl/>
              <w:jc w:val="center"/>
              <w:rPr>
                <w:rFonts w:asciiTheme="minorEastAsia" w:hAnsi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业绩</w:t>
            </w:r>
          </w:p>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w:t>
            </w:r>
            <w:r w:rsidRPr="00791DCD">
              <w:rPr>
                <w:rFonts w:asciiTheme="minorEastAsia" w:hAnsiTheme="minorEastAsia"/>
                <w:szCs w:val="21"/>
              </w:rPr>
              <w:t>10</w:t>
            </w:r>
            <w:r w:rsidRPr="00791DCD">
              <w:rPr>
                <w:rFonts w:asciiTheme="minorEastAsia" w:hAnsiTheme="minorEastAsia" w:hint="eastAsia"/>
                <w:szCs w:val="21"/>
              </w:rPr>
              <w:t>分）</w:t>
            </w:r>
          </w:p>
        </w:tc>
        <w:tc>
          <w:tcPr>
            <w:tcW w:w="6428" w:type="dxa"/>
            <w:tcBorders>
              <w:top w:val="single" w:sz="4" w:space="0" w:color="auto"/>
              <w:left w:val="single" w:sz="4" w:space="0" w:color="auto"/>
              <w:bottom w:val="single" w:sz="4" w:space="0" w:color="auto"/>
              <w:right w:val="single" w:sz="4" w:space="0" w:color="auto"/>
            </w:tcBorders>
            <w:vAlign w:val="center"/>
          </w:tcPr>
          <w:p w:rsidR="00791DCD" w:rsidRPr="00791DCD" w:rsidRDefault="00791DCD" w:rsidP="00791DCD">
            <w:pPr>
              <w:ind w:firstLineChars="200" w:firstLine="420"/>
              <w:rPr>
                <w:rFonts w:asciiTheme="minorEastAsia" w:hAnsiTheme="minorEastAsia"/>
                <w:color w:val="000000"/>
                <w:szCs w:val="21"/>
              </w:rPr>
            </w:pPr>
            <w:r w:rsidRPr="00791DCD">
              <w:rPr>
                <w:rFonts w:asciiTheme="minorEastAsia" w:hAnsiTheme="minorEastAsia" w:hint="eastAsia"/>
                <w:szCs w:val="21"/>
              </w:rPr>
              <w:t>提供近三年以来二级甲等及以上医院集采管理系统的销售合同复印件（或合同原件扫描件），每一份合同得2分（同一客户只能提供一份合同），最多得10分。备注：提供合同内容不得遮挡、涂改，内容完整，包括附件，提供联系人和联系方式，否则不得分。</w:t>
            </w:r>
          </w:p>
        </w:tc>
      </w:tr>
      <w:tr w:rsidR="00791DCD" w:rsidRPr="00791DCD" w:rsidTr="00791DCD">
        <w:trPr>
          <w:trHeight w:val="497"/>
        </w:trPr>
        <w:tc>
          <w:tcPr>
            <w:tcW w:w="1384" w:type="dxa"/>
            <w:tcBorders>
              <w:top w:val="single" w:sz="4" w:space="0" w:color="auto"/>
              <w:left w:val="single" w:sz="4" w:space="0" w:color="auto"/>
              <w:bottom w:val="single" w:sz="4" w:space="0" w:color="auto"/>
              <w:right w:val="single" w:sz="4" w:space="0" w:color="auto"/>
            </w:tcBorders>
            <w:vAlign w:val="center"/>
          </w:tcPr>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综合评价</w:t>
            </w:r>
          </w:p>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（10分）</w:t>
            </w:r>
          </w:p>
        </w:tc>
        <w:tc>
          <w:tcPr>
            <w:tcW w:w="1275" w:type="dxa"/>
            <w:tcBorders>
              <w:top w:val="single" w:sz="4" w:space="0" w:color="auto"/>
              <w:left w:val="single" w:sz="4" w:space="0" w:color="auto"/>
              <w:bottom w:val="single" w:sz="4" w:space="0" w:color="auto"/>
              <w:right w:val="single" w:sz="4" w:space="0" w:color="auto"/>
            </w:tcBorders>
            <w:vAlign w:val="center"/>
          </w:tcPr>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综合评价</w:t>
            </w:r>
          </w:p>
          <w:p w:rsidR="00791DCD" w:rsidRPr="00791DCD" w:rsidRDefault="00791DCD" w:rsidP="00791DCD">
            <w:pPr>
              <w:widowControl/>
              <w:jc w:val="center"/>
              <w:rPr>
                <w:rFonts w:asciiTheme="minorEastAsia" w:hAnsiTheme="minorEastAsia"/>
                <w:szCs w:val="21"/>
              </w:rPr>
            </w:pPr>
            <w:r w:rsidRPr="00791DCD">
              <w:rPr>
                <w:rFonts w:asciiTheme="minorEastAsia" w:hAnsiTheme="minorEastAsia" w:hint="eastAsia"/>
                <w:szCs w:val="21"/>
              </w:rPr>
              <w:t>（10分）</w:t>
            </w:r>
          </w:p>
        </w:tc>
        <w:tc>
          <w:tcPr>
            <w:tcW w:w="6428" w:type="dxa"/>
            <w:tcBorders>
              <w:top w:val="single" w:sz="4" w:space="0" w:color="auto"/>
              <w:left w:val="single" w:sz="4" w:space="0" w:color="auto"/>
              <w:bottom w:val="single" w:sz="4" w:space="0" w:color="auto"/>
              <w:right w:val="single" w:sz="4" w:space="0" w:color="auto"/>
            </w:tcBorders>
            <w:vAlign w:val="center"/>
          </w:tcPr>
          <w:p w:rsidR="00791DCD" w:rsidRPr="00791DCD" w:rsidRDefault="00791DCD" w:rsidP="00791DCD">
            <w:pPr>
              <w:ind w:firstLineChars="200" w:firstLine="420"/>
              <w:rPr>
                <w:rFonts w:asciiTheme="minorEastAsia" w:hAnsiTheme="minorEastAsia"/>
                <w:szCs w:val="21"/>
              </w:rPr>
            </w:pPr>
            <w:r w:rsidRPr="00791DCD">
              <w:rPr>
                <w:rFonts w:asciiTheme="minorEastAsia" w:hAnsiTheme="minorEastAsia" w:hint="eastAsia"/>
                <w:szCs w:val="21"/>
              </w:rPr>
              <w:t>根据综合性价给予评分，优</w:t>
            </w:r>
            <w:r>
              <w:rPr>
                <w:rFonts w:asciiTheme="minorEastAsia" w:hAnsiTheme="minorEastAsia" w:hint="eastAsia"/>
                <w:szCs w:val="21"/>
              </w:rPr>
              <w:t>1</w:t>
            </w:r>
            <w:r>
              <w:rPr>
                <w:rFonts w:asciiTheme="minorEastAsia" w:hAnsiTheme="minorEastAsia"/>
                <w:szCs w:val="21"/>
              </w:rPr>
              <w:t>0</w:t>
            </w:r>
            <w:r w:rsidRPr="00791DCD">
              <w:rPr>
                <w:rFonts w:asciiTheme="minorEastAsia" w:hAnsiTheme="minorEastAsia" w:hint="eastAsia"/>
                <w:szCs w:val="21"/>
              </w:rPr>
              <w:t>分</w:t>
            </w:r>
            <w:r>
              <w:rPr>
                <w:rFonts w:asciiTheme="minorEastAsia" w:hAnsiTheme="minorEastAsia" w:hint="eastAsia"/>
                <w:szCs w:val="21"/>
              </w:rPr>
              <w:t>，</w:t>
            </w:r>
            <w:r w:rsidRPr="00791DCD">
              <w:rPr>
                <w:rFonts w:asciiTheme="minorEastAsia" w:hAnsiTheme="minorEastAsia" w:hint="eastAsia"/>
                <w:szCs w:val="21"/>
              </w:rPr>
              <w:t>良</w:t>
            </w:r>
            <w:r>
              <w:rPr>
                <w:rFonts w:asciiTheme="minorEastAsia" w:hAnsiTheme="minorEastAsia" w:hint="eastAsia"/>
                <w:szCs w:val="21"/>
              </w:rPr>
              <w:t>8</w:t>
            </w:r>
            <w:r w:rsidRPr="00791DCD">
              <w:rPr>
                <w:rFonts w:asciiTheme="minorEastAsia" w:hAnsiTheme="minorEastAsia" w:hint="eastAsia"/>
                <w:szCs w:val="21"/>
              </w:rPr>
              <w:t>分</w:t>
            </w:r>
            <w:r>
              <w:rPr>
                <w:rFonts w:asciiTheme="minorEastAsia" w:hAnsiTheme="minorEastAsia" w:hint="eastAsia"/>
                <w:szCs w:val="21"/>
              </w:rPr>
              <w:t>，</w:t>
            </w:r>
            <w:r w:rsidRPr="00791DCD">
              <w:rPr>
                <w:rFonts w:asciiTheme="minorEastAsia" w:hAnsiTheme="minorEastAsia" w:hint="eastAsia"/>
                <w:szCs w:val="21"/>
              </w:rPr>
              <w:t>中</w:t>
            </w:r>
            <w:r>
              <w:rPr>
                <w:rFonts w:asciiTheme="minorEastAsia" w:hAnsiTheme="minorEastAsia" w:hint="eastAsia"/>
                <w:szCs w:val="21"/>
              </w:rPr>
              <w:t>6</w:t>
            </w:r>
            <w:r w:rsidRPr="00791DCD">
              <w:rPr>
                <w:rFonts w:asciiTheme="minorEastAsia" w:hAnsiTheme="minorEastAsia" w:hint="eastAsia"/>
                <w:szCs w:val="21"/>
              </w:rPr>
              <w:t>分</w:t>
            </w:r>
            <w:r>
              <w:rPr>
                <w:rFonts w:asciiTheme="minorEastAsia" w:hAnsiTheme="minorEastAsia" w:hint="eastAsia"/>
                <w:szCs w:val="21"/>
              </w:rPr>
              <w:t>，</w:t>
            </w:r>
            <w:r w:rsidRPr="00791DCD">
              <w:rPr>
                <w:rFonts w:asciiTheme="minorEastAsia" w:hAnsiTheme="minorEastAsia" w:hint="eastAsia"/>
                <w:szCs w:val="21"/>
              </w:rPr>
              <w:t>差</w:t>
            </w:r>
            <w:r>
              <w:rPr>
                <w:rFonts w:asciiTheme="minorEastAsia" w:hAnsiTheme="minorEastAsia" w:hint="eastAsia"/>
                <w:szCs w:val="21"/>
              </w:rPr>
              <w:t>4</w:t>
            </w:r>
            <w:r w:rsidRPr="00791DCD">
              <w:rPr>
                <w:rFonts w:asciiTheme="minorEastAsia" w:hAnsiTheme="minorEastAsia" w:hint="eastAsia"/>
                <w:szCs w:val="21"/>
              </w:rPr>
              <w:t>分</w:t>
            </w:r>
            <w:r>
              <w:rPr>
                <w:rFonts w:asciiTheme="minorEastAsia" w:hAnsiTheme="minorEastAsia" w:hint="eastAsia"/>
                <w:szCs w:val="21"/>
              </w:rPr>
              <w:t>。</w:t>
            </w:r>
          </w:p>
        </w:tc>
      </w:tr>
    </w:tbl>
    <w:p w:rsidR="00791DCD" w:rsidRDefault="00791DCD" w:rsidP="003C1F3D">
      <w:pPr>
        <w:pStyle w:val="a7"/>
        <w:spacing w:before="0" w:beforeAutospacing="0" w:after="0" w:afterAutospacing="0" w:line="360" w:lineRule="auto"/>
        <w:jc w:val="both"/>
        <w:textAlignment w:val="baseline"/>
        <w:rPr>
          <w:rFonts w:asciiTheme="minorEastAsia" w:eastAsiaTheme="minorEastAsia" w:hAnsiTheme="minorEastAsia"/>
          <w:color w:val="333333"/>
          <w:sz w:val="21"/>
          <w:szCs w:val="21"/>
        </w:rPr>
      </w:pPr>
    </w:p>
    <w:p w:rsidR="00B5330B" w:rsidRPr="00791DCD" w:rsidRDefault="00791671" w:rsidP="00A70F29">
      <w:pPr>
        <w:pStyle w:val="a7"/>
        <w:spacing w:before="0" w:beforeAutospacing="0" w:after="0" w:afterAutospacing="0" w:line="360" w:lineRule="auto"/>
        <w:jc w:val="both"/>
        <w:textAlignment w:val="baseline"/>
        <w:rPr>
          <w:rFonts w:asciiTheme="minorEastAsia" w:eastAsiaTheme="minorEastAsia" w:hAnsiTheme="minorEastAsia"/>
          <w:color w:val="333333"/>
          <w:sz w:val="21"/>
          <w:szCs w:val="21"/>
        </w:rPr>
      </w:pPr>
      <w:r w:rsidRPr="00931DA4">
        <w:rPr>
          <w:rFonts w:asciiTheme="minorEastAsia" w:eastAsiaTheme="minorEastAsia" w:hAnsiTheme="minorEastAsia" w:hint="eastAsia"/>
          <w:color w:val="333333"/>
          <w:sz w:val="21"/>
          <w:szCs w:val="21"/>
        </w:rPr>
        <w:t>四、供应商必须根据此次招标公示所述报名资格条件，结合以上内容，自制标书，一正四副。</w:t>
      </w:r>
    </w:p>
    <w:sectPr w:rsidR="00B5330B" w:rsidRPr="00791DCD" w:rsidSect="001B78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A20" w:rsidRDefault="00E36A20" w:rsidP="0059786B">
      <w:r>
        <w:separator/>
      </w:r>
    </w:p>
  </w:endnote>
  <w:endnote w:type="continuationSeparator" w:id="0">
    <w:p w:rsidR="00E36A20" w:rsidRDefault="00E36A20" w:rsidP="0059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 仿宋 Std R">
    <w:altName w:val="仿宋"/>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A20" w:rsidRDefault="00E36A20" w:rsidP="0059786B">
      <w:r>
        <w:separator/>
      </w:r>
    </w:p>
  </w:footnote>
  <w:footnote w:type="continuationSeparator" w:id="0">
    <w:p w:rsidR="00E36A20" w:rsidRDefault="00E36A20" w:rsidP="00597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7732BD"/>
    <w:multiLevelType w:val="singleLevel"/>
    <w:tmpl w:val="BF7732BD"/>
    <w:lvl w:ilvl="0">
      <w:start w:val="4"/>
      <w:numFmt w:val="decimal"/>
      <w:suff w:val="nothing"/>
      <w:lvlText w:val="%1、"/>
      <w:lvlJc w:val="left"/>
      <w:pPr>
        <w:ind w:left="0" w:firstLine="0"/>
      </w:pPr>
    </w:lvl>
  </w:abstractNum>
  <w:abstractNum w:abstractNumId="1" w15:restartNumberingAfterBreak="0">
    <w:nsid w:val="D79EC500"/>
    <w:multiLevelType w:val="singleLevel"/>
    <w:tmpl w:val="D79EC500"/>
    <w:lvl w:ilvl="0">
      <w:start w:val="2"/>
      <w:numFmt w:val="chineseCounting"/>
      <w:suff w:val="nothing"/>
      <w:lvlText w:val="%1、"/>
      <w:lvlJc w:val="left"/>
      <w:pPr>
        <w:ind w:left="0" w:firstLine="0"/>
      </w:pPr>
    </w:lvl>
  </w:abstractNum>
  <w:abstractNum w:abstractNumId="2" w15:restartNumberingAfterBreak="0">
    <w:nsid w:val="2AF60001"/>
    <w:multiLevelType w:val="singleLevel"/>
    <w:tmpl w:val="2AF60001"/>
    <w:lvl w:ilvl="0">
      <w:start w:val="3"/>
      <w:numFmt w:val="decimal"/>
      <w:suff w:val="nothing"/>
      <w:lvlText w:val="%1）"/>
      <w:lvlJc w:val="left"/>
      <w:pPr>
        <w:ind w:left="0" w:firstLine="0"/>
      </w:pPr>
    </w:lvl>
  </w:abstractNum>
  <w:num w:numId="1">
    <w:abstractNumId w:val="0"/>
    <w:lvlOverride w:ilvl="0">
      <w:startOverride w:val="4"/>
    </w:lvlOverride>
  </w:num>
  <w:num w:numId="2">
    <w:abstractNumId w:val="1"/>
    <w:lvlOverride w:ilvl="0">
      <w:startOverride w:val="2"/>
    </w:lvlOverride>
  </w:num>
  <w:num w:numId="3">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86B"/>
    <w:rsid w:val="00052A14"/>
    <w:rsid w:val="00064393"/>
    <w:rsid w:val="000F37E5"/>
    <w:rsid w:val="00105D6B"/>
    <w:rsid w:val="001279FE"/>
    <w:rsid w:val="001B120C"/>
    <w:rsid w:val="001B7806"/>
    <w:rsid w:val="001E1711"/>
    <w:rsid w:val="00226982"/>
    <w:rsid w:val="00284D33"/>
    <w:rsid w:val="002F5F01"/>
    <w:rsid w:val="00313A84"/>
    <w:rsid w:val="00317594"/>
    <w:rsid w:val="003C1F3D"/>
    <w:rsid w:val="004225AF"/>
    <w:rsid w:val="0043517F"/>
    <w:rsid w:val="00445A89"/>
    <w:rsid w:val="004871B3"/>
    <w:rsid w:val="004C0AAC"/>
    <w:rsid w:val="004C2794"/>
    <w:rsid w:val="005016E7"/>
    <w:rsid w:val="00502197"/>
    <w:rsid w:val="00564016"/>
    <w:rsid w:val="0057446D"/>
    <w:rsid w:val="0059786B"/>
    <w:rsid w:val="005C3DF6"/>
    <w:rsid w:val="00690C7A"/>
    <w:rsid w:val="006B25E2"/>
    <w:rsid w:val="006D1D36"/>
    <w:rsid w:val="006D6891"/>
    <w:rsid w:val="007052DB"/>
    <w:rsid w:val="007248E3"/>
    <w:rsid w:val="00785609"/>
    <w:rsid w:val="00791671"/>
    <w:rsid w:val="00791DCD"/>
    <w:rsid w:val="007A39BE"/>
    <w:rsid w:val="007A668C"/>
    <w:rsid w:val="007E7C3A"/>
    <w:rsid w:val="00847F9C"/>
    <w:rsid w:val="00854813"/>
    <w:rsid w:val="00874675"/>
    <w:rsid w:val="008930D9"/>
    <w:rsid w:val="00914186"/>
    <w:rsid w:val="00931DA4"/>
    <w:rsid w:val="00952A82"/>
    <w:rsid w:val="009A1103"/>
    <w:rsid w:val="00A70F29"/>
    <w:rsid w:val="00A96F99"/>
    <w:rsid w:val="00AC6D3F"/>
    <w:rsid w:val="00B44292"/>
    <w:rsid w:val="00B44662"/>
    <w:rsid w:val="00B5330B"/>
    <w:rsid w:val="00B74BFB"/>
    <w:rsid w:val="00B8013F"/>
    <w:rsid w:val="00B85820"/>
    <w:rsid w:val="00C7508F"/>
    <w:rsid w:val="00C84A75"/>
    <w:rsid w:val="00CA5727"/>
    <w:rsid w:val="00CE3319"/>
    <w:rsid w:val="00D37216"/>
    <w:rsid w:val="00D81A4C"/>
    <w:rsid w:val="00DB571B"/>
    <w:rsid w:val="00E01C51"/>
    <w:rsid w:val="00E36A20"/>
    <w:rsid w:val="00E516B9"/>
    <w:rsid w:val="00E51CE4"/>
    <w:rsid w:val="00E51F1F"/>
    <w:rsid w:val="00E60B2F"/>
    <w:rsid w:val="00E61979"/>
    <w:rsid w:val="00E66984"/>
    <w:rsid w:val="00E81152"/>
    <w:rsid w:val="00E82DE4"/>
    <w:rsid w:val="00EC3552"/>
    <w:rsid w:val="00ED103D"/>
    <w:rsid w:val="00EF32AC"/>
    <w:rsid w:val="00FA2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A538F"/>
  <w15:docId w15:val="{32BBE574-6BB6-44BF-AF0A-CA6BC4DA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8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786B"/>
    <w:rPr>
      <w:sz w:val="18"/>
      <w:szCs w:val="18"/>
    </w:rPr>
  </w:style>
  <w:style w:type="paragraph" w:styleId="a5">
    <w:name w:val="footer"/>
    <w:basedOn w:val="a"/>
    <w:link w:val="a6"/>
    <w:uiPriority w:val="99"/>
    <w:unhideWhenUsed/>
    <w:rsid w:val="0059786B"/>
    <w:pPr>
      <w:tabs>
        <w:tab w:val="center" w:pos="4153"/>
        <w:tab w:val="right" w:pos="8306"/>
      </w:tabs>
      <w:snapToGrid w:val="0"/>
      <w:jc w:val="left"/>
    </w:pPr>
    <w:rPr>
      <w:sz w:val="18"/>
      <w:szCs w:val="18"/>
    </w:rPr>
  </w:style>
  <w:style w:type="character" w:customStyle="1" w:styleId="a6">
    <w:name w:val="页脚 字符"/>
    <w:basedOn w:val="a0"/>
    <w:link w:val="a5"/>
    <w:uiPriority w:val="99"/>
    <w:rsid w:val="0059786B"/>
    <w:rPr>
      <w:sz w:val="18"/>
      <w:szCs w:val="18"/>
    </w:rPr>
  </w:style>
  <w:style w:type="paragraph" w:styleId="a7">
    <w:name w:val="Normal (Web)"/>
    <w:basedOn w:val="a"/>
    <w:uiPriority w:val="99"/>
    <w:unhideWhenUsed/>
    <w:rsid w:val="0059786B"/>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rsid w:val="00E51F1F"/>
    <w:rPr>
      <w:sz w:val="21"/>
      <w:szCs w:val="21"/>
    </w:rPr>
  </w:style>
  <w:style w:type="paragraph" w:styleId="a9">
    <w:name w:val="annotation text"/>
    <w:basedOn w:val="a"/>
    <w:link w:val="aa"/>
    <w:uiPriority w:val="99"/>
    <w:semiHidden/>
    <w:unhideWhenUsed/>
    <w:rsid w:val="00E51F1F"/>
    <w:pPr>
      <w:jc w:val="left"/>
    </w:pPr>
  </w:style>
  <w:style w:type="character" w:customStyle="1" w:styleId="aa">
    <w:name w:val="批注文字 字符"/>
    <w:basedOn w:val="a0"/>
    <w:link w:val="a9"/>
    <w:uiPriority w:val="99"/>
    <w:semiHidden/>
    <w:rsid w:val="00E51F1F"/>
  </w:style>
  <w:style w:type="paragraph" w:styleId="ab">
    <w:name w:val="annotation subject"/>
    <w:basedOn w:val="a9"/>
    <w:next w:val="a9"/>
    <w:link w:val="ac"/>
    <w:uiPriority w:val="99"/>
    <w:semiHidden/>
    <w:unhideWhenUsed/>
    <w:rsid w:val="00E51F1F"/>
    <w:rPr>
      <w:b/>
      <w:bCs/>
    </w:rPr>
  </w:style>
  <w:style w:type="character" w:customStyle="1" w:styleId="ac">
    <w:name w:val="批注主题 字符"/>
    <w:basedOn w:val="aa"/>
    <w:link w:val="ab"/>
    <w:uiPriority w:val="99"/>
    <w:semiHidden/>
    <w:rsid w:val="00E51F1F"/>
    <w:rPr>
      <w:b/>
      <w:bCs/>
    </w:rPr>
  </w:style>
  <w:style w:type="paragraph" w:styleId="ad">
    <w:name w:val="Balloon Text"/>
    <w:basedOn w:val="a"/>
    <w:link w:val="ae"/>
    <w:uiPriority w:val="99"/>
    <w:semiHidden/>
    <w:unhideWhenUsed/>
    <w:rsid w:val="00E51F1F"/>
    <w:rPr>
      <w:sz w:val="18"/>
      <w:szCs w:val="18"/>
    </w:rPr>
  </w:style>
  <w:style w:type="character" w:customStyle="1" w:styleId="ae">
    <w:name w:val="批注框文本 字符"/>
    <w:basedOn w:val="a0"/>
    <w:link w:val="ad"/>
    <w:uiPriority w:val="99"/>
    <w:semiHidden/>
    <w:rsid w:val="00E51F1F"/>
    <w:rPr>
      <w:sz w:val="18"/>
      <w:szCs w:val="18"/>
    </w:rPr>
  </w:style>
  <w:style w:type="paragraph" w:styleId="af">
    <w:name w:val="Normal Indent"/>
    <w:basedOn w:val="a"/>
    <w:semiHidden/>
    <w:unhideWhenUsed/>
    <w:qFormat/>
    <w:rsid w:val="00791671"/>
    <w:pPr>
      <w:ind w:firstLine="420"/>
    </w:pPr>
    <w:rPr>
      <w:rFonts w:ascii="Calibri" w:eastAsia="宋体" w:hAnsi="Calibri" w:cs="Times New Roman"/>
    </w:rPr>
  </w:style>
  <w:style w:type="character" w:customStyle="1" w:styleId="font81">
    <w:name w:val="font81"/>
    <w:qFormat/>
    <w:rsid w:val="00931DA4"/>
    <w:rPr>
      <w:rFonts w:ascii="宋体" w:eastAsia="宋体" w:hAnsi="宋体" w:cs="宋体" w:hint="eastAsia"/>
      <w:color w:val="000000"/>
      <w:sz w:val="20"/>
      <w:szCs w:val="20"/>
      <w:u w:val="none"/>
    </w:rPr>
  </w:style>
  <w:style w:type="character" w:customStyle="1" w:styleId="font71">
    <w:name w:val="font71"/>
    <w:qFormat/>
    <w:rsid w:val="00931DA4"/>
    <w:rPr>
      <w:rFonts w:ascii="Times New Roman" w:hAnsi="Times New Roman" w:cs="Times New Roman" w:hint="default"/>
      <w:color w:val="000000"/>
      <w:sz w:val="20"/>
      <w:szCs w:val="20"/>
      <w:u w:val="none"/>
    </w:rPr>
  </w:style>
  <w:style w:type="character" w:customStyle="1" w:styleId="font101">
    <w:name w:val="font101"/>
    <w:qFormat/>
    <w:rsid w:val="00931DA4"/>
    <w:rPr>
      <w:rFonts w:ascii="Times New Roman" w:hAnsi="Times New Roman" w:cs="Times New Roman" w:hint="default"/>
      <w:color w:val="000000"/>
      <w:sz w:val="18"/>
      <w:szCs w:val="18"/>
      <w:u w:val="none"/>
    </w:rPr>
  </w:style>
  <w:style w:type="table" w:styleId="af0">
    <w:name w:val="Table Grid"/>
    <w:basedOn w:val="a1"/>
    <w:uiPriority w:val="59"/>
    <w:rsid w:val="0093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首行缩进"/>
    <w:basedOn w:val="1"/>
    <w:qFormat/>
    <w:rsid w:val="004871B3"/>
    <w:pPr>
      <w:widowControl w:val="0"/>
      <w:jc w:val="both"/>
    </w:pPr>
    <w:rPr>
      <w:sz w:val="20"/>
    </w:rPr>
  </w:style>
  <w:style w:type="paragraph" w:customStyle="1" w:styleId="1">
    <w:name w:val="正文1"/>
    <w:next w:val="a"/>
    <w:qFormat/>
    <w:rsid w:val="004871B3"/>
    <w:pPr>
      <w:spacing w:before="120" w:after="120" w:line="180" w:lineRule="auto"/>
      <w:ind w:firstLine="200"/>
      <w:contextualSpacing/>
    </w:pPr>
    <w:rPr>
      <w:rFonts w:ascii="Times New Roman" w:eastAsia="Adobe 仿宋 Std R" w:hAnsi="Times New Roman" w:cs="Times New Roman"/>
      <w:kern w:val="0"/>
      <w:szCs w:val="21"/>
    </w:rPr>
  </w:style>
  <w:style w:type="paragraph" w:customStyle="1" w:styleId="111">
    <w:name w:val="正文文本111"/>
    <w:basedOn w:val="a"/>
    <w:next w:val="a"/>
    <w:uiPriority w:val="99"/>
    <w:qFormat/>
    <w:rsid w:val="004871B3"/>
    <w:pPr>
      <w:autoSpaceDE w:val="0"/>
      <w:autoSpaceDN w:val="0"/>
      <w:spacing w:after="120"/>
      <w:jc w:val="left"/>
    </w:pPr>
    <w:rPr>
      <w:rFonts w:ascii="Calibri"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534">
      <w:bodyDiv w:val="1"/>
      <w:marLeft w:val="0"/>
      <w:marRight w:val="0"/>
      <w:marTop w:val="0"/>
      <w:marBottom w:val="0"/>
      <w:divBdr>
        <w:top w:val="none" w:sz="0" w:space="0" w:color="auto"/>
        <w:left w:val="none" w:sz="0" w:space="0" w:color="auto"/>
        <w:bottom w:val="none" w:sz="0" w:space="0" w:color="auto"/>
        <w:right w:val="none" w:sz="0" w:space="0" w:color="auto"/>
      </w:divBdr>
    </w:div>
    <w:div w:id="310984208">
      <w:bodyDiv w:val="1"/>
      <w:marLeft w:val="0"/>
      <w:marRight w:val="0"/>
      <w:marTop w:val="0"/>
      <w:marBottom w:val="0"/>
      <w:divBdr>
        <w:top w:val="none" w:sz="0" w:space="0" w:color="auto"/>
        <w:left w:val="none" w:sz="0" w:space="0" w:color="auto"/>
        <w:bottom w:val="none" w:sz="0" w:space="0" w:color="auto"/>
        <w:right w:val="none" w:sz="0" w:space="0" w:color="auto"/>
      </w:divBdr>
    </w:div>
    <w:div w:id="336470176">
      <w:bodyDiv w:val="1"/>
      <w:marLeft w:val="0"/>
      <w:marRight w:val="0"/>
      <w:marTop w:val="0"/>
      <w:marBottom w:val="0"/>
      <w:divBdr>
        <w:top w:val="none" w:sz="0" w:space="0" w:color="auto"/>
        <w:left w:val="none" w:sz="0" w:space="0" w:color="auto"/>
        <w:bottom w:val="none" w:sz="0" w:space="0" w:color="auto"/>
        <w:right w:val="none" w:sz="0" w:space="0" w:color="auto"/>
      </w:divBdr>
    </w:div>
    <w:div w:id="565337109">
      <w:bodyDiv w:val="1"/>
      <w:marLeft w:val="0"/>
      <w:marRight w:val="0"/>
      <w:marTop w:val="0"/>
      <w:marBottom w:val="0"/>
      <w:divBdr>
        <w:top w:val="none" w:sz="0" w:space="0" w:color="auto"/>
        <w:left w:val="none" w:sz="0" w:space="0" w:color="auto"/>
        <w:bottom w:val="none" w:sz="0" w:space="0" w:color="auto"/>
        <w:right w:val="none" w:sz="0" w:space="0" w:color="auto"/>
      </w:divBdr>
    </w:div>
    <w:div w:id="643316815">
      <w:bodyDiv w:val="1"/>
      <w:marLeft w:val="0"/>
      <w:marRight w:val="0"/>
      <w:marTop w:val="0"/>
      <w:marBottom w:val="0"/>
      <w:divBdr>
        <w:top w:val="none" w:sz="0" w:space="0" w:color="auto"/>
        <w:left w:val="none" w:sz="0" w:space="0" w:color="auto"/>
        <w:bottom w:val="none" w:sz="0" w:space="0" w:color="auto"/>
        <w:right w:val="none" w:sz="0" w:space="0" w:color="auto"/>
      </w:divBdr>
    </w:div>
    <w:div w:id="669219144">
      <w:bodyDiv w:val="1"/>
      <w:marLeft w:val="0"/>
      <w:marRight w:val="0"/>
      <w:marTop w:val="0"/>
      <w:marBottom w:val="0"/>
      <w:divBdr>
        <w:top w:val="none" w:sz="0" w:space="0" w:color="auto"/>
        <w:left w:val="none" w:sz="0" w:space="0" w:color="auto"/>
        <w:bottom w:val="none" w:sz="0" w:space="0" w:color="auto"/>
        <w:right w:val="none" w:sz="0" w:space="0" w:color="auto"/>
      </w:divBdr>
    </w:div>
    <w:div w:id="678967598">
      <w:bodyDiv w:val="1"/>
      <w:marLeft w:val="0"/>
      <w:marRight w:val="0"/>
      <w:marTop w:val="0"/>
      <w:marBottom w:val="0"/>
      <w:divBdr>
        <w:top w:val="none" w:sz="0" w:space="0" w:color="auto"/>
        <w:left w:val="none" w:sz="0" w:space="0" w:color="auto"/>
        <w:bottom w:val="none" w:sz="0" w:space="0" w:color="auto"/>
        <w:right w:val="none" w:sz="0" w:space="0" w:color="auto"/>
      </w:divBdr>
    </w:div>
    <w:div w:id="1118379689">
      <w:bodyDiv w:val="1"/>
      <w:marLeft w:val="0"/>
      <w:marRight w:val="0"/>
      <w:marTop w:val="0"/>
      <w:marBottom w:val="0"/>
      <w:divBdr>
        <w:top w:val="none" w:sz="0" w:space="0" w:color="auto"/>
        <w:left w:val="none" w:sz="0" w:space="0" w:color="auto"/>
        <w:bottom w:val="none" w:sz="0" w:space="0" w:color="auto"/>
        <w:right w:val="none" w:sz="0" w:space="0" w:color="auto"/>
      </w:divBdr>
    </w:div>
    <w:div w:id="1306081462">
      <w:bodyDiv w:val="1"/>
      <w:marLeft w:val="0"/>
      <w:marRight w:val="0"/>
      <w:marTop w:val="0"/>
      <w:marBottom w:val="0"/>
      <w:divBdr>
        <w:top w:val="none" w:sz="0" w:space="0" w:color="auto"/>
        <w:left w:val="none" w:sz="0" w:space="0" w:color="auto"/>
        <w:bottom w:val="none" w:sz="0" w:space="0" w:color="auto"/>
        <w:right w:val="none" w:sz="0" w:space="0" w:color="auto"/>
      </w:divBdr>
      <w:divsChild>
        <w:div w:id="1587685613">
          <w:marLeft w:val="0"/>
          <w:marRight w:val="0"/>
          <w:marTop w:val="0"/>
          <w:marBottom w:val="0"/>
          <w:divBdr>
            <w:top w:val="none" w:sz="0" w:space="0" w:color="auto"/>
            <w:left w:val="none" w:sz="0" w:space="0" w:color="auto"/>
            <w:bottom w:val="none" w:sz="0" w:space="0" w:color="auto"/>
            <w:right w:val="none" w:sz="0" w:space="0" w:color="auto"/>
          </w:divBdr>
        </w:div>
        <w:div w:id="24375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629</Words>
  <Characters>3589</Characters>
  <Application>Microsoft Office Word</Application>
  <DocSecurity>0</DocSecurity>
  <Lines>29</Lines>
  <Paragraphs>8</Paragraphs>
  <ScaleCrop>false</ScaleCrop>
  <Company>P R C</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PC</cp:lastModifiedBy>
  <cp:revision>5</cp:revision>
  <cp:lastPrinted>2023-11-14T08:38:00Z</cp:lastPrinted>
  <dcterms:created xsi:type="dcterms:W3CDTF">2023-11-16T02:17:00Z</dcterms:created>
  <dcterms:modified xsi:type="dcterms:W3CDTF">2023-11-16T09:16:00Z</dcterms:modified>
</cp:coreProperties>
</file>